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Netherlands</w:t>
      </w:r>
      <w:r>
        <w:t xml:space="preserve"> </w:t>
      </w:r>
      <w:r>
        <w:t xml:space="preserve">Amsterdam</w:t>
      </w:r>
    </w:p>
    <w:p>
      <w:pPr>
        <w:pStyle w:val="FirstParagraph"/>
      </w:pPr>
      <w:r>
        <w:t xml:space="preserve">PO-2025-AMS-0472</w:t>
      </w:r>
    </w:p>
    <w:p>
      <w:pPr>
        <w:pStyle w:val="BodyText"/>
      </w:pPr>
      <w:r>
        <w:t xml:space="preserve">Date: 15 June 2025</w:t>
      </w:r>
    </w:p>
    <w:p>
      <w:pPr>
        <w:pStyle w:val="BodyText"/>
      </w:pPr>
      <w:r>
        <w:t xml:space="preserve">Valid Until: 31 August 2025</w:t>
      </w:r>
    </w:p>
    <w:bookmarkStart w:id="20" w:name="purchase-order"/>
    <w:p>
      <w:pPr>
        <w:pStyle w:val="Heading1"/>
      </w:pPr>
      <w:r>
        <w:t xml:space="preserve">PURCHASE ORDER</w:t>
      </w:r>
    </w:p>
    <w:p>
      <w:pPr>
        <w:pStyle w:val="FirstParagraph"/>
      </w:pPr>
      <w:r>
        <w:t xml:space="preserve">Procurement of</w:t>
      </w:r>
      <w:r>
        <w:t xml:space="preserve"> </w:t>
      </w:r>
      <w:r>
        <w:t xml:space="preserve">Teacher Secondary</w:t>
      </w:r>
      <w:r>
        <w:t xml:space="preserve"> </w:t>
      </w:r>
      <w:r>
        <w:t xml:space="preserve">Educational Services —</w:t>
      </w:r>
      <w:r>
        <w:t xml:space="preserve"> </w:t>
      </w:r>
      <w:r>
        <w:t xml:space="preserve">Netherlands Amsterdam</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Amsterdam Municipal Education Authority</w:t>
      </w:r>
    </w:p>
    <w:p>
      <w:pPr>
        <w:pStyle w:val="BodyText"/>
      </w:pPr>
      <w:r>
        <w:t xml:space="preserve">Department of Secondary Education</w:t>
      </w:r>
    </w:p>
    <w:p>
      <w:pPr>
        <w:pStyle w:val="BodyText"/>
      </w:pPr>
      <w:r>
        <w:t xml:space="preserve">Herengracht 450, 1017 CA Amsterdam</w:t>
      </w:r>
    </w:p>
    <w:p>
      <w:pPr>
        <w:pStyle w:val="BodyText"/>
      </w:pPr>
      <w:r>
        <w:t xml:space="preserve">Netherlands</w:t>
      </w:r>
    </w:p>
    <w:p>
      <w:pPr>
        <w:pStyle w:val="BodyText"/>
      </w:pPr>
      <w:r>
        <w:t xml:space="preserve">VAT No.: NL861234567B01</w:t>
      </w:r>
    </w:p>
    <w:p>
      <w:pPr>
        <w:pStyle w:val="BodyText"/>
      </w:pPr>
      <w:r>
        <w:t xml:space="preserve">Contact: procurement@amsterdam-edu.nl</w:t>
      </w:r>
    </w:p>
    <w:p>
      <w:pPr>
        <w:pStyle w:val="BodyText"/>
      </w:pPr>
      <w:r>
        <w:t xml:space="preserve">Phone: +31 20 555 0142</w:t>
      </w:r>
    </w:p>
    <w:bookmarkEnd w:id="21"/>
    <w:bookmarkStart w:id="22" w:name="supplier-seller"/>
    <w:p>
      <w:pPr>
        <w:pStyle w:val="Heading3"/>
      </w:pPr>
      <w:r>
        <w:t xml:space="preserve">Supplier (Seller)</w:t>
      </w:r>
    </w:p>
    <w:p>
      <w:pPr>
        <w:pStyle w:val="FirstParagraph"/>
      </w:pPr>
      <w:r>
        <w:rPr>
          <w:bCs/>
          <w:b/>
        </w:rPr>
        <w:t xml:space="preserve">EduTalent Netherlands B.V.</w:t>
      </w:r>
    </w:p>
    <w:p>
      <w:pPr>
        <w:pStyle w:val="BodyText"/>
      </w:pPr>
      <w:r>
        <w:t xml:space="preserve">Secondary Education Staffing Division</w:t>
      </w:r>
    </w:p>
    <w:p>
      <w:pPr>
        <w:pStyle w:val="BodyText"/>
      </w:pPr>
      <w:r>
        <w:t xml:space="preserve">Keizersgracht 210, 1016 DZ Amsterdam</w:t>
      </w:r>
    </w:p>
    <w:p>
      <w:pPr>
        <w:pStyle w:val="BodyText"/>
      </w:pPr>
      <w:r>
        <w:t xml:space="preserve">Netherlands</w:t>
      </w:r>
    </w:p>
    <w:p>
      <w:pPr>
        <w:pStyle w:val="BodyText"/>
      </w:pPr>
      <w:r>
        <w:t xml:space="preserve">VAT No.: NL859876543B01</w:t>
      </w:r>
    </w:p>
    <w:p>
      <w:pPr>
        <w:pStyle w:val="BodyText"/>
      </w:pPr>
      <w:r>
        <w:t xml:space="preserve">Contact: contracts@edutalent.nl</w:t>
      </w:r>
    </w:p>
    <w:p>
      <w:pPr>
        <w:pStyle w:val="BodyText"/>
      </w:pPr>
      <w:r>
        <w:t xml:space="preserve">Phone: +31 20 555 0387</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rPr>
          <w:bCs/>
          <w:b/>
        </w:rPr>
        <w:t xml:space="preserve">Purchase Order</w:t>
      </w:r>
      <w:r>
        <w:t xml:space="preserve"> </w:t>
      </w:r>
      <w:r>
        <w:t xml:space="preserve">is issued by the Amsterdam Municipal Education Authority to formally procure the services of qualified</w:t>
      </w:r>
      <w:r>
        <w:t xml:space="preserve"> </w:t>
      </w:r>
      <w:r>
        <w:rPr>
          <w:bCs/>
          <w:b/>
        </w:rPr>
        <w:t xml:space="preserve">Teacher Secondary</w:t>
      </w:r>
      <w:r>
        <w:t xml:space="preserve"> </w:t>
      </w:r>
      <w:r>
        <w:t xml:space="preserve">professionals for the 2025/2026 academic year. The engagement covers the recruitment, placement, and ongoing management of secondary education teachers across multiple public secondary schools (VMBO, HAVO, and VWO tracks) located within the municipality of</w:t>
      </w:r>
      <w:r>
        <w:t xml:space="preserve"> </w:t>
      </w:r>
      <w:r>
        <w:rPr>
          <w:bCs/>
          <w:b/>
        </w:rPr>
        <w:t xml:space="preserve">Netherlands Amsterdam</w:t>
      </w:r>
      <w:r>
        <w:t xml:space="preserve">. The supplier shall ensure that all</w:t>
      </w:r>
      <w:r>
        <w:t xml:space="preserve"> </w:t>
      </w:r>
      <w:r>
        <w:rPr>
          <w:bCs/>
          <w:b/>
        </w:rPr>
        <w:t xml:space="preserve">Teacher Secondary</w:t>
      </w:r>
      <w:r>
        <w:t xml:space="preserve"> </w:t>
      </w:r>
      <w:r>
        <w:t xml:space="preserve">personnel meet the certification requirements established by the Dutch Ministry of Education, Culture and Science (Ministerie van Onderwijs, Cultuur en Wetenschap) and comply with the pedagogical standards set forth by the Amsterdam Education Board.</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Subject Area</w:t>
            </w:r>
          </w:p>
        </w:tc>
        <w:tc>
          <w:tcPr/>
          <w:p>
            <w:pPr>
              <w:pStyle w:val="Compact"/>
              <w:jc w:val="left"/>
            </w:pPr>
            <w:r>
              <w:t xml:space="preserve">Level</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Secondary — Mathematics &amp; Natural Sciences</w:t>
            </w:r>
          </w:p>
        </w:tc>
        <w:tc>
          <w:tcPr/>
          <w:p>
            <w:pPr>
              <w:pStyle w:val="Compact"/>
              <w:jc w:val="left"/>
            </w:pPr>
            <w:r>
              <w:t xml:space="preserve">Mathematics, Physics, Chemistry</w:t>
            </w:r>
          </w:p>
        </w:tc>
        <w:tc>
          <w:tcPr/>
          <w:p>
            <w:pPr>
              <w:pStyle w:val="Compact"/>
              <w:jc w:val="left"/>
            </w:pPr>
            <w:r>
              <w:t xml:space="preserve">VMBO / HAVO / VWO</w:t>
            </w:r>
          </w:p>
        </w:tc>
        <w:tc>
          <w:tcPr/>
          <w:p>
            <w:pPr>
              <w:pStyle w:val="Compact"/>
              <w:jc w:val="left"/>
            </w:pPr>
            <w:r>
              <w:t xml:space="preserve">Aug 2025 – Jul 2026</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Teacher Secondary — Languages &amp; Humanities</w:t>
            </w:r>
          </w:p>
        </w:tc>
        <w:tc>
          <w:tcPr/>
          <w:p>
            <w:pPr>
              <w:pStyle w:val="Compact"/>
              <w:jc w:val="left"/>
            </w:pPr>
            <w:r>
              <w:t xml:space="preserve">Dutch, English, History, Geography</w:t>
            </w:r>
          </w:p>
        </w:tc>
        <w:tc>
          <w:tcPr/>
          <w:p>
            <w:pPr>
              <w:pStyle w:val="Compact"/>
              <w:jc w:val="left"/>
            </w:pPr>
            <w:r>
              <w:t xml:space="preserve">VMBO / HAVO / VWO</w:t>
            </w:r>
          </w:p>
        </w:tc>
        <w:tc>
          <w:tcPr/>
          <w:p>
            <w:pPr>
              <w:pStyle w:val="Compact"/>
              <w:jc w:val="left"/>
            </w:pPr>
            <w:r>
              <w:t xml:space="preserve">Aug 2025 – Jul 2026</w:t>
            </w:r>
          </w:p>
        </w:tc>
        <w:tc>
          <w:tcPr/>
          <w:p>
            <w:pPr>
              <w:pStyle w:val="Compact"/>
              <w:jc w:val="left"/>
            </w:pPr>
            <w:r>
              <w:t xml:space="preserve">4,100.00</w:t>
            </w:r>
          </w:p>
        </w:tc>
        <w:tc>
          <w:tcPr/>
          <w:p>
            <w:pPr>
              <w:pStyle w:val="Compact"/>
              <w:jc w:val="left"/>
            </w:pPr>
            <w:r>
              <w:t xml:space="preserve">18</w:t>
            </w:r>
          </w:p>
        </w:tc>
        <w:tc>
          <w:tcPr/>
          <w:p>
            <w:pPr>
              <w:pStyle w:val="Compact"/>
              <w:jc w:val="left"/>
            </w:pPr>
            <w:r>
              <w:t xml:space="preserve">73,800.00</w:t>
            </w:r>
          </w:p>
        </w:tc>
      </w:tr>
      <w:tr>
        <w:tc>
          <w:tcPr/>
          <w:p>
            <w:pPr>
              <w:pStyle w:val="Compact"/>
              <w:jc w:val="left"/>
            </w:pPr>
            <w:r>
              <w:t xml:space="preserve">03</w:t>
            </w:r>
          </w:p>
        </w:tc>
        <w:tc>
          <w:tcPr/>
          <w:p>
            <w:pPr>
              <w:pStyle w:val="Compact"/>
              <w:jc w:val="left"/>
            </w:pPr>
            <w:r>
              <w:t xml:space="preserve">Teacher Secondary — Social Sciences &amp; Economics</w:t>
            </w:r>
          </w:p>
        </w:tc>
        <w:tc>
          <w:tcPr/>
          <w:p>
            <w:pPr>
              <w:pStyle w:val="Compact"/>
              <w:jc w:val="left"/>
            </w:pPr>
            <w:r>
              <w:t xml:space="preserve">Economics, Sociology, Civic Education</w:t>
            </w:r>
          </w:p>
        </w:tc>
        <w:tc>
          <w:tcPr/>
          <w:p>
            <w:pPr>
              <w:pStyle w:val="Compact"/>
              <w:jc w:val="left"/>
            </w:pPr>
            <w:r>
              <w:t xml:space="preserve">HAVO / VWO</w:t>
            </w:r>
          </w:p>
        </w:tc>
        <w:tc>
          <w:tcPr/>
          <w:p>
            <w:pPr>
              <w:pStyle w:val="Compact"/>
              <w:jc w:val="left"/>
            </w:pPr>
            <w:r>
              <w:t xml:space="preserve">Aug 2025 – Jul 2026</w:t>
            </w:r>
          </w:p>
        </w:tc>
        <w:tc>
          <w:tcPr/>
          <w:p>
            <w:pPr>
              <w:pStyle w:val="Compact"/>
              <w:jc w:val="left"/>
            </w:pPr>
            <w:r>
              <w:t xml:space="preserve">4,350.00</w:t>
            </w:r>
          </w:p>
        </w:tc>
        <w:tc>
          <w:tcPr/>
          <w:p>
            <w:pPr>
              <w:pStyle w:val="Compact"/>
              <w:jc w:val="left"/>
            </w:pPr>
            <w:r>
              <w:t xml:space="preserve">10</w:t>
            </w:r>
          </w:p>
        </w:tc>
        <w:tc>
          <w:tcPr/>
          <w:p>
            <w:pPr>
              <w:pStyle w:val="Compact"/>
              <w:jc w:val="left"/>
            </w:pPr>
            <w:r>
              <w:t xml:space="preserve">43,500.00</w:t>
            </w:r>
          </w:p>
        </w:tc>
      </w:tr>
      <w:tr>
        <w:tc>
          <w:tcPr/>
          <w:p>
            <w:pPr>
              <w:pStyle w:val="Compact"/>
              <w:jc w:val="left"/>
            </w:pPr>
            <w:r>
              <w:t xml:space="preserve">04</w:t>
            </w:r>
          </w:p>
        </w:tc>
        <w:tc>
          <w:tcPr/>
          <w:p>
            <w:pPr>
              <w:pStyle w:val="Compact"/>
              <w:jc w:val="left"/>
            </w:pPr>
            <w:r>
              <w:t xml:space="preserve">Teacher Secondary — Arts &amp; Physical Education</w:t>
            </w:r>
          </w:p>
        </w:tc>
        <w:tc>
          <w:tcPr/>
          <w:p>
            <w:pPr>
              <w:pStyle w:val="Compact"/>
              <w:jc w:val="left"/>
            </w:pPr>
            <w:r>
              <w:t xml:space="preserve">Music, Visual Arts, PE, Drama</w:t>
            </w:r>
          </w:p>
        </w:tc>
        <w:tc>
          <w:tcPr/>
          <w:p>
            <w:pPr>
              <w:pStyle w:val="Compact"/>
              <w:jc w:val="left"/>
            </w:pPr>
            <w:r>
              <w:t xml:space="preserve">VMBO / HAVO / VWO</w:t>
            </w:r>
          </w:p>
        </w:tc>
        <w:tc>
          <w:tcPr/>
          <w:p>
            <w:pPr>
              <w:pStyle w:val="Compact"/>
              <w:jc w:val="left"/>
            </w:pPr>
            <w:r>
              <w:t xml:space="preserve">Aug 2025 – Jul 2026</w:t>
            </w:r>
          </w:p>
        </w:tc>
        <w:tc>
          <w:tcPr/>
          <w:p>
            <w:pPr>
              <w:pStyle w:val="Compact"/>
              <w:jc w:val="left"/>
            </w:pPr>
            <w:r>
              <w:t xml:space="preserve">3,950.00</w:t>
            </w:r>
          </w:p>
        </w:tc>
        <w:tc>
          <w:tcPr/>
          <w:p>
            <w:pPr>
              <w:pStyle w:val="Compact"/>
              <w:jc w:val="left"/>
            </w:pPr>
            <w:r>
              <w:t xml:space="preserve">8</w:t>
            </w:r>
          </w:p>
        </w:tc>
        <w:tc>
          <w:tcPr/>
          <w:p>
            <w:pPr>
              <w:pStyle w:val="Compact"/>
              <w:jc w:val="left"/>
            </w:pPr>
            <w:r>
              <w:t xml:space="preserve">31,600.00</w:t>
            </w:r>
          </w:p>
        </w:tc>
      </w:tr>
      <w:tr>
        <w:tc>
          <w:tcPr/>
          <w:p>
            <w:pPr>
              <w:pStyle w:val="Compact"/>
              <w:jc w:val="left"/>
            </w:pPr>
            <w:r>
              <w:t xml:space="preserve">05</w:t>
            </w:r>
          </w:p>
        </w:tc>
        <w:tc>
          <w:tcPr/>
          <w:p>
            <w:pPr>
              <w:pStyle w:val="Compact"/>
              <w:jc w:val="left"/>
            </w:pPr>
            <w:r>
              <w:t xml:space="preserve">Teacher Secondary — IT &amp; Digital Literacy</w:t>
            </w:r>
          </w:p>
        </w:tc>
        <w:tc>
          <w:tcPr/>
          <w:p>
            <w:pPr>
              <w:pStyle w:val="Compact"/>
              <w:jc w:val="left"/>
            </w:pPr>
            <w:r>
              <w:t xml:space="preserve">Computer Science, Digital Skills</w:t>
            </w:r>
          </w:p>
        </w:tc>
        <w:tc>
          <w:tcPr/>
          <w:p>
            <w:pPr>
              <w:pStyle w:val="Compact"/>
              <w:jc w:val="left"/>
            </w:pPr>
            <w:r>
              <w:t xml:space="preserve">VMBO / HAVO / VWO</w:t>
            </w:r>
          </w:p>
        </w:tc>
        <w:tc>
          <w:tcPr/>
          <w:p>
            <w:pPr>
              <w:pStyle w:val="Compact"/>
              <w:jc w:val="left"/>
            </w:pPr>
            <w:r>
              <w:t xml:space="preserve">Aug 2025 – Jul 2026</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Teacher Secondary — Special Education Support</w:t>
            </w:r>
          </w:p>
        </w:tc>
        <w:tc>
          <w:tcPr/>
          <w:p>
            <w:pPr>
              <w:pStyle w:val="Compact"/>
              <w:jc w:val="left"/>
            </w:pPr>
            <w:r>
              <w:t xml:space="preserve">Inclusive Education, Learning Support</w:t>
            </w:r>
          </w:p>
        </w:tc>
        <w:tc>
          <w:tcPr/>
          <w:p>
            <w:pPr>
              <w:pStyle w:val="Compact"/>
              <w:jc w:val="left"/>
            </w:pPr>
            <w:r>
              <w:t xml:space="preserve">All Levels</w:t>
            </w:r>
          </w:p>
        </w:tc>
        <w:tc>
          <w:tcPr/>
          <w:p>
            <w:pPr>
              <w:pStyle w:val="Compact"/>
              <w:jc w:val="left"/>
            </w:pPr>
            <w:r>
              <w:t xml:space="preserve">Aug 2025 – Jul 2026</w:t>
            </w:r>
          </w:p>
        </w:tc>
        <w:tc>
          <w:tcPr/>
          <w:p>
            <w:pPr>
              <w:pStyle w:val="Compact"/>
              <w:jc w:val="left"/>
            </w:pPr>
            <w:r>
              <w:t xml:space="preserve">4,600.00</w:t>
            </w:r>
          </w:p>
        </w:tc>
        <w:tc>
          <w:tcPr/>
          <w:p>
            <w:pPr>
              <w:pStyle w:val="Compact"/>
              <w:jc w:val="left"/>
            </w:pPr>
            <w:r>
              <w:t xml:space="preserve">5</w:t>
            </w:r>
          </w:p>
        </w:tc>
        <w:tc>
          <w:tcPr/>
          <w:p>
            <w:pPr>
              <w:pStyle w:val="Compact"/>
              <w:jc w:val="left"/>
            </w:pPr>
            <w:r>
              <w:t xml:space="preserve">23,000.00</w:t>
            </w:r>
          </w:p>
        </w:tc>
      </w:tr>
      <w:tr>
        <w:tc>
          <w:tcPr>
            <w:gridSpan w:val="7"/>
          </w:tcPr>
          <w:p>
            <w:pPr>
              <w:pStyle w:val="Compact"/>
              <w:jc w:val="left"/>
            </w:pPr>
            <w:r>
              <w:t xml:space="preserve">TOTAL PURCHASE ORDER VALUE (excl. VAT 21%)</w:t>
            </w:r>
          </w:p>
        </w:tc>
        <w:tc>
          <w:tcPr/>
          <w:p>
            <w:pPr>
              <w:pStyle w:val="Compact"/>
              <w:jc w:val="left"/>
            </w:pPr>
            <w:r>
              <w:t xml:space="preserve">249,300.00</w:t>
            </w:r>
          </w:p>
        </w:tc>
      </w:tr>
      <w:tr>
        <w:tc>
          <w:tcPr>
            <w:gridSpan w:val="7"/>
          </w:tcPr>
          <w:p>
            <w:pPr>
              <w:pStyle w:val="Compact"/>
              <w:jc w:val="left"/>
            </w:pPr>
            <w:r>
              <w:t xml:space="preserve">VAT (21%)</w:t>
            </w:r>
          </w:p>
        </w:tc>
        <w:tc>
          <w:tcPr/>
          <w:p>
            <w:pPr>
              <w:pStyle w:val="Compact"/>
              <w:jc w:val="left"/>
            </w:pPr>
            <w:r>
              <w:t xml:space="preserve">52,353.00</w:t>
            </w:r>
          </w:p>
        </w:tc>
      </w:tr>
      <w:tr>
        <w:tc>
          <w:tcPr>
            <w:gridSpan w:val="7"/>
          </w:tcPr>
          <w:p>
            <w:pPr>
              <w:pStyle w:val="Compact"/>
              <w:jc w:val="left"/>
            </w:pPr>
            <w:r>
              <w:t xml:space="preserve">GRAND TOTAL (incl. VAT)</w:t>
            </w:r>
          </w:p>
        </w:tc>
        <w:tc>
          <w:tcPr/>
          <w:p>
            <w:pPr>
              <w:pStyle w:val="Compact"/>
              <w:jc w:val="left"/>
            </w:pPr>
            <w:r>
              <w:t xml:space="preserve">301,653.00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Service:</w:t>
      </w:r>
      <w:r>
        <w:t xml:space="preserve"> </w:t>
      </w:r>
      <w:r>
        <w:t xml:space="preserve">The supplier, EduTalent Netherlands B.V., shall recruit, vet, and deploy a minimum of 59 qualified</w:t>
      </w:r>
      <w:r>
        <w:t xml:space="preserve"> </w:t>
      </w:r>
      <w:r>
        <w:rPr>
          <w:bCs/>
          <w:b/>
        </w:rPr>
        <w:t xml:space="preserve">Teacher Secondary</w:t>
      </w:r>
      <w:r>
        <w:t xml:space="preserve"> </w:t>
      </w:r>
      <w:r>
        <w:t xml:space="preserve">professionals across the designated secondary schools in</w:t>
      </w:r>
      <w:r>
        <w:t xml:space="preserve"> </w:t>
      </w:r>
      <w:r>
        <w:rPr>
          <w:bCs/>
          <w:b/>
        </w:rPr>
        <w:t xml:space="preserve">Netherlands Amsterdam</w:t>
      </w:r>
      <w:r>
        <w:t xml:space="preserve">. Each</w:t>
      </w:r>
      <w:r>
        <w:t xml:space="preserve"> </w:t>
      </w:r>
      <w:r>
        <w:rPr>
          <w:bCs/>
          <w:b/>
        </w:rPr>
        <w:t xml:space="preserve">Teacher Secondary</w:t>
      </w:r>
      <w:r>
        <w:t xml:space="preserve"> </w:t>
      </w:r>
      <w:r>
        <w:t xml:space="preserve">candidate must hold a valid Dutch teaching diploma (BSc or MSc in Education) and a current teaching license issued by the Dutch government.</w:t>
      </w:r>
    </w:p>
    <w:p>
      <w:pPr>
        <w:numPr>
          <w:ilvl w:val="0"/>
          <w:numId w:val="1001"/>
        </w:numPr>
        <w:pStyle w:val="Compact"/>
      </w:pPr>
      <w:r>
        <w:rPr>
          <w:bCs/>
          <w:b/>
        </w:rPr>
        <w:t xml:space="preserve">Delivery and Placement:</w:t>
      </w:r>
      <w:r>
        <w:t xml:space="preserve"> </w:t>
      </w:r>
      <w:r>
        <w:t xml:space="preserve">All</w:t>
      </w:r>
      <w:r>
        <w:t xml:space="preserve"> </w:t>
      </w:r>
      <w:r>
        <w:rPr>
          <w:bCs/>
          <w:b/>
        </w:rPr>
        <w:t xml:space="preserve">Teacher Secondary</w:t>
      </w:r>
      <w:r>
        <w:t xml:space="preserve"> </w:t>
      </w:r>
      <w:r>
        <w:t xml:space="preserve">personnel must be placed and reporting to their assigned schools no later than 1 August 2025. The supplier shall provide a detailed placement schedule to the Amsterdam Municipal Education Authority by 15 July 2025.</w:t>
      </w:r>
    </w:p>
    <w:p>
      <w:pPr>
        <w:numPr>
          <w:ilvl w:val="0"/>
          <w:numId w:val="1001"/>
        </w:numPr>
        <w:pStyle w:val="Compact"/>
      </w:pPr>
      <w:r>
        <w:rPr>
          <w:bCs/>
          <w:b/>
        </w:rPr>
        <w:t xml:space="preserve">Payment Terms:</w:t>
      </w:r>
      <w:r>
        <w:t xml:space="preserve"> </w:t>
      </w:r>
      <w:r>
        <w:t xml:space="preserve">Payment shall be made in monthly installments of EUR 25,137.75 (inclusive of VAT) via bank transfer to the supplier's designated account. Invoices are due within 30 days of receipt. Late payments shall accrue interest at 8% per annum in accordance with Dutch commercial law (Burgerlijk Wetboek, Book 7).</w:t>
      </w:r>
    </w:p>
    <w:p>
      <w:pPr>
        <w:numPr>
          <w:ilvl w:val="0"/>
          <w:numId w:val="1001"/>
        </w:numPr>
        <w:pStyle w:val="Compact"/>
      </w:pPr>
      <w:r>
        <w:rPr>
          <w:bCs/>
          <w:b/>
        </w:rPr>
        <w:t xml:space="preserve">Quality Assurance:</w:t>
      </w:r>
      <w:r>
        <w:t xml:space="preserve"> </w:t>
      </w:r>
      <w:r>
        <w:t xml:space="preserve">The supplier shall conduct quarterly performance reviews of all</w:t>
      </w:r>
      <w:r>
        <w:t xml:space="preserve"> </w:t>
      </w:r>
      <w:r>
        <w:rPr>
          <w:bCs/>
          <w:b/>
        </w:rPr>
        <w:t xml:space="preserve">Teacher Secondary</w:t>
      </w:r>
      <w:r>
        <w:t xml:space="preserve"> </w:t>
      </w:r>
      <w:r>
        <w:t xml:space="preserve">staff. Any</w:t>
      </w:r>
      <w:r>
        <w:t xml:space="preserve"> </w:t>
      </w:r>
      <w:r>
        <w:rPr>
          <w:bCs/>
          <w:b/>
        </w:rPr>
        <w:t xml:space="preserve">Teacher Secondary</w:t>
      </w:r>
      <w:r>
        <w:t xml:space="preserve"> </w:t>
      </w:r>
      <w:r>
        <w:t xml:space="preserve">professional who fails to meet the pedagogical and professional standards within two consecutive review cycles shall be replaced at no additional cost to the purchasing entity within 14 calendar days.</w:t>
      </w:r>
    </w:p>
    <w:p>
      <w:pPr>
        <w:numPr>
          <w:ilvl w:val="0"/>
          <w:numId w:val="1001"/>
        </w:numPr>
        <w:pStyle w:val="Compact"/>
      </w:pPr>
      <w:r>
        <w:rPr>
          <w:bCs/>
          <w:b/>
        </w:rPr>
        <w:t xml:space="preserve">Compliance and Legal:</w:t>
      </w:r>
      <w:r>
        <w:t xml:space="preserve"> </w:t>
      </w:r>
      <w:r>
        <w:t xml:space="preserve">All services rendered under this</w:t>
      </w:r>
      <w:r>
        <w:t xml:space="preserve"> </w:t>
      </w:r>
      <w:r>
        <w:rPr>
          <w:bCs/>
          <w:b/>
        </w:rPr>
        <w:t xml:space="preserve">Purchase Order</w:t>
      </w:r>
      <w:r>
        <w:t xml:space="preserve"> </w:t>
      </w:r>
      <w:r>
        <w:t xml:space="preserve">shall comply with the Dutch Working Conditions Act (Arbeidsomstandighedenwet), the Dutch Education Act (Wet op het primair onderwijs / Wet op het voortgezet onderwijs), and all applicable municipal regulations of</w:t>
      </w:r>
      <w:r>
        <w:t xml:space="preserve"> </w:t>
      </w:r>
      <w:r>
        <w:rPr>
          <w:bCs/>
          <w:b/>
        </w:rPr>
        <w:t xml:space="preserve">Netherlands Amsterdam</w:t>
      </w:r>
      <w:r>
        <w:t xml:space="preserve">. The supplier warrants that all</w:t>
      </w:r>
      <w:r>
        <w:t xml:space="preserve"> </w:t>
      </w:r>
      <w:r>
        <w:rPr>
          <w:bCs/>
          <w:b/>
        </w:rPr>
        <w:t xml:space="preserve">Teacher Secondary</w:t>
      </w:r>
      <w:r>
        <w:t xml:space="preserve"> </w:t>
      </w:r>
      <w:r>
        <w:t xml:space="preserve">personnel have undergone a valid VOG (Verklaring Omtrent het Gedrag) criminal background check.</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60 days' written notice. In the event of termination, the supplier shall ensure a minimum 30-day transition period during which all</w:t>
      </w:r>
      <w:r>
        <w:t xml:space="preserve"> </w:t>
      </w:r>
      <w:r>
        <w:rPr>
          <w:bCs/>
          <w:b/>
        </w:rPr>
        <w:t xml:space="preserve">Teacher Secondary</w:t>
      </w:r>
      <w:r>
        <w:t xml:space="preserve"> </w:t>
      </w:r>
      <w:r>
        <w:t xml:space="preserve">staff remain in post to prevent disruption to the academic programme in</w:t>
      </w:r>
      <w:r>
        <w:t xml:space="preserve"> </w:t>
      </w:r>
      <w:r>
        <w:rPr>
          <w:bCs/>
          <w:b/>
        </w:rPr>
        <w:t xml:space="preserve">Netherlands Amsterdam</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Purchase Order</w:t>
      </w:r>
      <w:r>
        <w:t xml:space="preserve"> </w:t>
      </w:r>
      <w:r>
        <w:t xml:space="preserve">shall be resolved through mediation in Amsterdam, Netherlands, in accordance with the rules of the Netherlands Arbitration Institute (Netherlands Arbitration Institute, Korte Nieuwstraat 118, 1012 AC Amsterdam). If mediation fails, the matter shall be referred to the competent court of Amsterdam.</w:t>
      </w:r>
    </w:p>
    <w:p>
      <w:pPr>
        <w:numPr>
          <w:ilvl w:val="0"/>
          <w:numId w:val="1001"/>
        </w:numPr>
        <w:pStyle w:val="Compact"/>
      </w:pPr>
      <w:r>
        <w:rPr>
          <w:bCs/>
          <w:b/>
        </w:rPr>
        <w:t xml:space="preserve">Confidentiality:</w:t>
      </w:r>
      <w:r>
        <w:t xml:space="preserve"> </w:t>
      </w:r>
      <w:r>
        <w:t xml:space="preserve">Both parties agree to maintain strict confidentiality regarding all personnel data, student records, and financial information exchanged under this</w:t>
      </w:r>
      <w:r>
        <w:t xml:space="preserve"> </w:t>
      </w:r>
      <w:r>
        <w:rPr>
          <w:bCs/>
          <w:b/>
        </w:rPr>
        <w:t xml:space="preserve">Purchase Order</w:t>
      </w:r>
      <w:r>
        <w:t xml:space="preserve">, in full compliance with the Dutch Implementation Act GDPR (Uitvoeringswet AVG) and EU Regulation 2016/679.</w:t>
      </w:r>
    </w:p>
    <w:bookmarkEnd w:id="26"/>
    <w:bookmarkStart w:id="27" w:name="acceptance-and-authorization"/>
    <w:p>
      <w:pPr>
        <w:pStyle w:val="Heading2"/>
      </w:pPr>
      <w:r>
        <w:t xml:space="preserve">5. Acceptance and Authorization</w:t>
      </w:r>
    </w:p>
    <w:p>
      <w:pPr>
        <w:pStyle w:val="FirstParagraph"/>
      </w:pPr>
      <w:r>
        <w:t xml:space="preserve">By signing below, both parties confirm their agreement to the terms, conditions, and scope of work outlined in this</w:t>
      </w:r>
      <w:r>
        <w:t xml:space="preserve"> </w:t>
      </w:r>
      <w:r>
        <w:rPr>
          <w:bCs/>
          <w:b/>
        </w:rPr>
        <w:t xml:space="preserve">Purchase Order</w:t>
      </w:r>
      <w:r>
        <w:t xml:space="preserve"> </w:t>
      </w:r>
      <w:r>
        <w:t xml:space="preserve">for the procurement of</w:t>
      </w:r>
      <w:r>
        <w:t xml:space="preserve"> </w:t>
      </w:r>
      <w:r>
        <w:rPr>
          <w:bCs/>
          <w:b/>
        </w:rPr>
        <w:t xml:space="preserve">Teacher Secondary</w:t>
      </w:r>
      <w:r>
        <w:t xml:space="preserve"> </w:t>
      </w:r>
      <w:r>
        <w:t xml:space="preserve">services in</w:t>
      </w:r>
      <w:r>
        <w:t xml:space="preserve"> </w:t>
      </w:r>
      <w:r>
        <w:rPr>
          <w:bCs/>
          <w:b/>
        </w:rPr>
        <w:t xml:space="preserve">Netherlands Amsterdam</w:t>
      </w:r>
      <w:r>
        <w:t xml:space="preserve">. This document constitutes a binding agreement effective from the date of the last signature.</w:t>
      </w:r>
    </w:p>
    <w:bookmarkEnd w:id="27"/>
    <w:p>
      <w:pPr>
        <w:pStyle w:val="BodyText"/>
      </w:pPr>
      <w:r>
        <w:rPr>
          <w:bCs/>
          <w:b/>
        </w:rPr>
        <w:t xml:space="preserve">For the Purchasing Entity</w:t>
      </w:r>
    </w:p>
    <w:p>
      <w:pPr>
        <w:pStyle w:val="BodyText"/>
      </w:pPr>
      <w:r>
        <w:t xml:space="preserve">Amsterdam Municipal Education Authority</w:t>
      </w:r>
    </w:p>
    <w:p>
      <w:pPr>
        <w:pStyle w:val="BodyText"/>
      </w:pPr>
      <w:r>
        <w:t xml:space="preserve">Name: Dr. Hendrik van der Berg</w:t>
      </w:r>
      <w:r>
        <w:br/>
      </w:r>
      <w:r>
        <w:t xml:space="preserve">Title: Director of Secondary Education</w:t>
      </w:r>
      <w:r>
        <w:br/>
      </w:r>
      <w:r>
        <w:t xml:space="preserve">Signature &amp; Date: _________________________</w:t>
      </w:r>
    </w:p>
    <w:p>
      <w:pPr>
        <w:pStyle w:val="BodyText"/>
      </w:pPr>
      <w:r>
        <w:rPr>
          <w:bCs/>
          <w:b/>
        </w:rPr>
        <w:t xml:space="preserve">For the Supplier</w:t>
      </w:r>
    </w:p>
    <w:p>
      <w:pPr>
        <w:pStyle w:val="BodyText"/>
      </w:pPr>
      <w:r>
        <w:t xml:space="preserve">EduTalent Netherlands B.V.</w:t>
      </w:r>
    </w:p>
    <w:p>
      <w:pPr>
        <w:pStyle w:val="BodyText"/>
      </w:pPr>
      <w:r>
        <w:t xml:space="preserve">Name: Ms. Anouk de Vries</w:t>
      </w:r>
      <w:r>
        <w:br/>
      </w:r>
      <w:r>
        <w:t xml:space="preserve">Title: Managing Director, Secondary Division</w:t>
      </w:r>
      <w:r>
        <w:br/>
      </w:r>
      <w:r>
        <w:t xml:space="preserve">Signature &amp; Date: _________________________</w:t>
      </w:r>
    </w:p>
    <w:p>
      <w:pPr>
        <w:pStyle w:val="BodyText"/>
      </w:pPr>
      <w:r>
        <w:t xml:space="preserve">This</w:t>
      </w:r>
      <w:r>
        <w:t xml:space="preserve"> </w:t>
      </w:r>
      <w:r>
        <w:rPr>
          <w:bCs/>
          <w:b/>
        </w:rPr>
        <w:t xml:space="preserve">Purchase Order</w:t>
      </w:r>
      <w:r>
        <w:t xml:space="preserve"> </w:t>
      </w:r>
      <w:r>
        <w:t xml:space="preserve">(PO-2025-AMS-0472) was issued by the Amsterdam Municipal Education Authority for the procurement of</w:t>
      </w:r>
      <w:r>
        <w:t xml:space="preserve"> </w:t>
      </w:r>
      <w:r>
        <w:rPr>
          <w:bCs/>
          <w:b/>
        </w:rPr>
        <w:t xml:space="preserve">Teacher Secondary</w:t>
      </w:r>
      <w:r>
        <w:t xml:space="preserve"> </w:t>
      </w:r>
      <w:r>
        <w:t xml:space="preserve">educational services in</w:t>
      </w:r>
      <w:r>
        <w:t xml:space="preserve"> </w:t>
      </w:r>
      <w:r>
        <w:rPr>
          <w:bCs/>
          <w:b/>
        </w:rPr>
        <w:t xml:space="preserve">Netherlands Amsterdam</w:t>
      </w:r>
      <w:r>
        <w:t xml:space="preserve">. Document reference: AME-PO-2025-0472. For inquiries, contact procurement@amsterdam-edu.nl. This document is valid only when bearing the official stamps and signatures of both parties. © 2025 Amsterdam Municipal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Netherlands Amsterdam</dc:title>
  <dc:creator/>
  <dc:language>en</dc:language>
  <cp:keywords/>
  <dcterms:created xsi:type="dcterms:W3CDTF">2026-10-10T00:37:41Z</dcterms:created>
  <dcterms:modified xsi:type="dcterms:W3CDTF">2026-10-10T00:37:41Z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