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Teacher Secondary Services – Lima, Peru</w:t>
      </w:r>
    </w:p>
    <w:p>
      <w:pPr>
        <w:pStyle w:val="BodyText"/>
      </w:pPr>
      <w:r>
        <w:t xml:space="preserve">PO No.: PO-LIM-2025-00472</w:t>
      </w:r>
    </w:p>
    <w:p>
      <w:pPr>
        <w:pStyle w:val="BodyText"/>
      </w:pPr>
      <w:r>
        <w:t xml:space="preserve">Date of Issue: June 15, 2025</w:t>
      </w:r>
    </w:p>
    <w:p>
      <w:pPr>
        <w:pStyle w:val="BodyText"/>
      </w:pPr>
      <w:r>
        <w:t xml:space="preserve">Valid Until: July 15, 2025</w:t>
      </w:r>
    </w:p>
    <w:bookmarkEnd w:id="20"/>
    <w:bookmarkStart w:id="21" w:name="purchasing-entity-buyer"/>
    <w:p>
      <w:pPr>
        <w:pStyle w:val="Heading3"/>
      </w:pPr>
      <w:r>
        <w:t xml:space="preserve">Purchasing Entity (Buyer)</w:t>
      </w:r>
    </w:p>
    <w:p>
      <w:pPr>
        <w:pStyle w:val="FirstParagraph"/>
      </w:pPr>
      <w:r>
        <w:rPr>
          <w:bCs/>
          <w:b/>
        </w:rPr>
        <w:t xml:space="preserve">Institution:</w:t>
      </w:r>
      <w:r>
        <w:t xml:space="preserve"> </w:t>
      </w:r>
      <w:r>
        <w:t xml:space="preserve">Instituto Educativo Superior de Lima</w:t>
      </w:r>
    </w:p>
    <w:p>
      <w:pPr>
        <w:pStyle w:val="BodyText"/>
      </w:pPr>
      <w:r>
        <w:rPr>
          <w:bCs/>
          <w:b/>
        </w:rPr>
        <w:t xml:space="preserve">Address:</w:t>
      </w:r>
      <w:r>
        <w:t xml:space="preserve"> </w:t>
      </w:r>
      <w:r>
        <w:t xml:space="preserve">Av. Javier Prado Este 1250, San Isidro, Lima, Peru</w:t>
      </w:r>
    </w:p>
    <w:p>
      <w:pPr>
        <w:pStyle w:val="BodyText"/>
      </w:pPr>
      <w:r>
        <w:rPr>
          <w:bCs/>
          <w:b/>
        </w:rPr>
        <w:t xml:space="preserve">RUC:</w:t>
      </w:r>
      <w:r>
        <w:t xml:space="preserve"> </w:t>
      </w:r>
      <w:r>
        <w:t xml:space="preserve">20548736211</w:t>
      </w:r>
    </w:p>
    <w:p>
      <w:pPr>
        <w:pStyle w:val="BodyText"/>
      </w:pPr>
      <w:r>
        <w:rPr>
          <w:bCs/>
          <w:b/>
        </w:rPr>
        <w:t xml:space="preserve">Contact:</w:t>
      </w:r>
      <w:r>
        <w:t xml:space="preserve"> </w:t>
      </w:r>
      <w:r>
        <w:t xml:space="preserve">Lic. María Elena Quispe Torres</w:t>
      </w:r>
    </w:p>
    <w:p>
      <w:pPr>
        <w:pStyle w:val="BodyText"/>
      </w:pPr>
      <w:r>
        <w:rPr>
          <w:bCs/>
          <w:b/>
        </w:rPr>
        <w:t xml:space="preserve">Position:</w:t>
      </w:r>
      <w:r>
        <w:t xml:space="preserve"> </w:t>
      </w:r>
      <w:r>
        <w:t xml:space="preserve">Director of Human Resources</w:t>
      </w:r>
    </w:p>
    <w:p>
      <w:pPr>
        <w:pStyle w:val="BodyText"/>
      </w:pPr>
      <w:r>
        <w:rPr>
          <w:bCs/>
          <w:b/>
        </w:rPr>
        <w:t xml:space="preserve">Email:</w:t>
      </w:r>
      <w:r>
        <w:t xml:space="preserve"> </w:t>
      </w:r>
      <w:r>
        <w:t xml:space="preserve">compras@ieslima.edu.pe</w:t>
      </w:r>
    </w:p>
    <w:p>
      <w:pPr>
        <w:pStyle w:val="BodyText"/>
      </w:pPr>
      <w:r>
        <w:rPr>
          <w:bCs/>
          <w:b/>
        </w:rPr>
        <w:t xml:space="preserve">Phone:</w:t>
      </w:r>
      <w:r>
        <w:t xml:space="preserve"> </w:t>
      </w:r>
      <w:r>
        <w:t xml:space="preserve">+51 1 445-8890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Consultora Educativa del Pacífico S.A.C.</w:t>
      </w:r>
    </w:p>
    <w:p>
      <w:pPr>
        <w:pStyle w:val="BodyText"/>
      </w:pPr>
      <w:r>
        <w:rPr>
          <w:bCs/>
          <w:b/>
        </w:rPr>
        <w:t xml:space="preserve">Address:</w:t>
      </w:r>
      <w:r>
        <w:t xml:space="preserve"> </w:t>
      </w:r>
      <w:r>
        <w:t xml:space="preserve">Jr. Puno 845, Miraflores, Lima, Peru</w:t>
      </w:r>
    </w:p>
    <w:p>
      <w:pPr>
        <w:pStyle w:val="BodyText"/>
      </w:pPr>
      <w:r>
        <w:rPr>
          <w:bCs/>
          <w:b/>
        </w:rPr>
        <w:t xml:space="preserve">RUC:</w:t>
      </w:r>
      <w:r>
        <w:t xml:space="preserve"> </w:t>
      </w:r>
      <w:r>
        <w:t xml:space="preserve">20612345678</w:t>
      </w:r>
    </w:p>
    <w:p>
      <w:pPr>
        <w:pStyle w:val="BodyText"/>
      </w:pPr>
      <w:r>
        <w:rPr>
          <w:bCs/>
          <w:b/>
        </w:rPr>
        <w:t xml:space="preserve">Contact:</w:t>
      </w:r>
      <w:r>
        <w:t xml:space="preserve"> </w:t>
      </w:r>
      <w:r>
        <w:t xml:space="preserve">Ing. Carlos Alberto Mendoza Ríos</w:t>
      </w:r>
    </w:p>
    <w:p>
      <w:pPr>
        <w:pStyle w:val="BodyText"/>
      </w:pPr>
      <w:r>
        <w:rPr>
          <w:bCs/>
          <w:b/>
        </w:rPr>
        <w:t xml:space="preserve">Position:</w:t>
      </w:r>
      <w:r>
        <w:t xml:space="preserve"> </w:t>
      </w:r>
      <w:r>
        <w:t xml:space="preserve">General Manager</w:t>
      </w:r>
    </w:p>
    <w:p>
      <w:pPr>
        <w:pStyle w:val="BodyText"/>
      </w:pPr>
      <w:r>
        <w:rPr>
          <w:bCs/>
          <w:b/>
        </w:rPr>
        <w:t xml:space="preserve">Email:</w:t>
      </w:r>
      <w:r>
        <w:t xml:space="preserve"> </w:t>
      </w:r>
      <w:r>
        <w:t xml:space="preserve">ventas@consultoraeducativa.pe</w:t>
      </w:r>
    </w:p>
    <w:p>
      <w:pPr>
        <w:pStyle w:val="BodyText"/>
      </w:pPr>
      <w:r>
        <w:rPr>
          <w:bCs/>
          <w:b/>
        </w:rPr>
        <w:t xml:space="preserve">Phone:</w:t>
      </w:r>
      <w:r>
        <w:t xml:space="preserve"> </w:t>
      </w:r>
      <w:r>
        <w:t xml:space="preserve">+51 1 442-3367</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Instituto Educativo Superior de Lima, located in the metropolitan area of</w:t>
      </w:r>
      <w:r>
        <w:t xml:space="preserve"> </w:t>
      </w:r>
      <w:r>
        <w:t xml:space="preserve">Peru Lima</w:t>
      </w:r>
      <w:r>
        <w:t xml:space="preserve">, for the procurement of qualified</w:t>
      </w:r>
      <w:r>
        <w:t xml:space="preserve"> </w:t>
      </w:r>
      <w:r>
        <w:t xml:space="preserve">Teacher Secondary</w:t>
      </w:r>
      <w:r>
        <w:t xml:space="preserve"> </w:t>
      </w:r>
      <w:r>
        <w:t xml:space="preserve">personnel and associated educational services. The purpose of this Purchase Order is to formally authorize the engagement of certified secondary-level educators who will deliver instruction across multiple academic disciplines within the secondary education cycle (Grades 1 through 5, corresponding to ages 12–17) at the institution's campus in San Isidro, Lima, Peru. All services rendered under this Purchase Order shall comply with the regulations established by the Ministry of Education of Peru (MINEDU) and the applicable labor laws of the Republic of Peru.</w:t>
      </w:r>
    </w:p>
    <w:bookmarkEnd w:id="23"/>
    <w:bookmarkStart w:id="24" w:name="line-items-teacher-secondary-services"/>
    <w:p>
      <w:pPr>
        <w:pStyle w:val="Heading2"/>
      </w:pPr>
      <w:r>
        <w:t xml:space="preserve">2. Line Items – Teacher Secondary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Discipline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Teacher Secondary – Mathematics Instruction (Grades 1–5)</w:t>
            </w:r>
          </w:p>
        </w:tc>
        <w:tc>
          <w:tcPr/>
          <w:p>
            <w:pPr>
              <w:pStyle w:val="Compact"/>
              <w:jc w:val="left"/>
            </w:pPr>
            <w:r>
              <w:t xml:space="preserve">Mathematics</w:t>
            </w:r>
          </w:p>
        </w:tc>
        <w:tc>
          <w:tcPr/>
          <w:p>
            <w:pPr>
              <w:pStyle w:val="Compact"/>
              <w:jc w:val="left"/>
            </w:pPr>
            <w:r>
              <w:t xml:space="preserve">4</w:t>
            </w:r>
          </w:p>
        </w:tc>
        <w:tc>
          <w:tcPr/>
          <w:p>
            <w:pPr>
              <w:pStyle w:val="Compact"/>
              <w:jc w:val="left"/>
            </w:pPr>
            <w:r>
              <w:t xml:space="preserve">Full-time positions / academic year</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Teacher Secondary – Science and Physics Instruction (Grades 1–5)</w:t>
            </w:r>
          </w:p>
        </w:tc>
        <w:tc>
          <w:tcPr/>
          <w:p>
            <w:pPr>
              <w:pStyle w:val="Compact"/>
              <w:jc w:val="left"/>
            </w:pPr>
            <w:r>
              <w:t xml:space="preserve">Science / Physics</w:t>
            </w:r>
          </w:p>
        </w:tc>
        <w:tc>
          <w:tcPr/>
          <w:p>
            <w:pPr>
              <w:pStyle w:val="Compact"/>
              <w:jc w:val="left"/>
            </w:pPr>
            <w:r>
              <w:t xml:space="preserve">3</w:t>
            </w:r>
          </w:p>
        </w:tc>
        <w:tc>
          <w:tcPr/>
          <w:p>
            <w:pPr>
              <w:pStyle w:val="Compact"/>
              <w:jc w:val="left"/>
            </w:pPr>
            <w:r>
              <w:t xml:space="preserve">Full-time positions / academic year</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Teacher Secondary – Spanish Language and Literature (Grades 1–5)</w:t>
            </w:r>
          </w:p>
        </w:tc>
        <w:tc>
          <w:tcPr/>
          <w:p>
            <w:pPr>
              <w:pStyle w:val="Compact"/>
              <w:jc w:val="left"/>
            </w:pPr>
            <w:r>
              <w:t xml:space="preserve">Spanish / Literature</w:t>
            </w:r>
          </w:p>
        </w:tc>
        <w:tc>
          <w:tcPr/>
          <w:p>
            <w:pPr>
              <w:pStyle w:val="Compact"/>
              <w:jc w:val="left"/>
            </w:pPr>
            <w:r>
              <w:t xml:space="preserve">4</w:t>
            </w:r>
          </w:p>
        </w:tc>
        <w:tc>
          <w:tcPr/>
          <w:p>
            <w:pPr>
              <w:pStyle w:val="Compact"/>
              <w:jc w:val="left"/>
            </w:pPr>
            <w:r>
              <w:t xml:space="preserve">Full-time positions / academic year</w:t>
            </w:r>
          </w:p>
        </w:tc>
        <w:tc>
          <w:tcPr/>
          <w:p>
            <w:pPr>
              <w:pStyle w:val="Compact"/>
              <w:jc w:val="left"/>
            </w:pPr>
            <w:r>
              <w:t xml:space="preserve">17,800.00</w:t>
            </w:r>
          </w:p>
        </w:tc>
        <w:tc>
          <w:tcPr/>
          <w:p>
            <w:pPr>
              <w:pStyle w:val="Compact"/>
              <w:jc w:val="left"/>
            </w:pPr>
            <w:r>
              <w:t xml:space="preserve">71,200.00</w:t>
            </w:r>
          </w:p>
        </w:tc>
      </w:tr>
      <w:tr>
        <w:tc>
          <w:tcPr/>
          <w:p>
            <w:pPr>
              <w:pStyle w:val="Compact"/>
              <w:jc w:val="left"/>
            </w:pPr>
            <w:r>
              <w:t xml:space="preserve">04</w:t>
            </w:r>
          </w:p>
        </w:tc>
        <w:tc>
          <w:tcPr/>
          <w:p>
            <w:pPr>
              <w:pStyle w:val="Compact"/>
              <w:jc w:val="left"/>
            </w:pPr>
            <w:r>
              <w:t xml:space="preserve">Teacher Secondary – English Language Instruction (Grades 1–5)</w:t>
            </w:r>
          </w:p>
        </w:tc>
        <w:tc>
          <w:tcPr/>
          <w:p>
            <w:pPr>
              <w:pStyle w:val="Compact"/>
              <w:jc w:val="left"/>
            </w:pPr>
            <w:r>
              <w:t xml:space="preserve">English</w:t>
            </w:r>
          </w:p>
        </w:tc>
        <w:tc>
          <w:tcPr/>
          <w:p>
            <w:pPr>
              <w:pStyle w:val="Compact"/>
              <w:jc w:val="left"/>
            </w:pPr>
            <w:r>
              <w:t xml:space="preserve">3</w:t>
            </w:r>
          </w:p>
        </w:tc>
        <w:tc>
          <w:tcPr/>
          <w:p>
            <w:pPr>
              <w:pStyle w:val="Compact"/>
              <w:jc w:val="left"/>
            </w:pPr>
            <w:r>
              <w:t xml:space="preserve">Full-time positions / academic year</w:t>
            </w:r>
          </w:p>
        </w:tc>
        <w:tc>
          <w:tcPr/>
          <w:p>
            <w:pPr>
              <w:pStyle w:val="Compact"/>
              <w:jc w:val="left"/>
            </w:pPr>
            <w:r>
              <w:t xml:space="preserve">19,200.00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Teacher Secondary – Social Sciences and History of Peru (Grades 1–5)</w:t>
            </w:r>
          </w:p>
        </w:tc>
        <w:tc>
          <w:tcPr/>
          <w:p>
            <w:pPr>
              <w:pStyle w:val="Compact"/>
              <w:jc w:val="left"/>
            </w:pPr>
            <w:r>
              <w:t xml:space="preserve">Social Sciences</w:t>
            </w:r>
          </w:p>
        </w:tc>
        <w:tc>
          <w:tcPr/>
          <w:p>
            <w:pPr>
              <w:pStyle w:val="Compact"/>
              <w:jc w:val="left"/>
            </w:pPr>
            <w:r>
              <w:t xml:space="preserve">2</w:t>
            </w:r>
          </w:p>
        </w:tc>
        <w:tc>
          <w:tcPr/>
          <w:p>
            <w:pPr>
              <w:pStyle w:val="Compact"/>
              <w:jc w:val="left"/>
            </w:pPr>
            <w:r>
              <w:t xml:space="preserve">Full-time positions / academic year</w:t>
            </w:r>
          </w:p>
        </w:tc>
        <w:tc>
          <w:tcPr/>
          <w:p>
            <w:pPr>
              <w:pStyle w:val="Compact"/>
              <w:jc w:val="left"/>
            </w:pPr>
            <w:r>
              <w:t xml:space="preserve">17,800.00</w:t>
            </w:r>
          </w:p>
        </w:tc>
        <w:tc>
          <w:tcPr/>
          <w:p>
            <w:pPr>
              <w:pStyle w:val="Compact"/>
              <w:jc w:val="left"/>
            </w:pPr>
            <w:r>
              <w:t xml:space="preserve">35,600.00</w:t>
            </w:r>
          </w:p>
        </w:tc>
      </w:tr>
      <w:tr>
        <w:tc>
          <w:tcPr/>
          <w:p>
            <w:pPr>
              <w:pStyle w:val="Compact"/>
              <w:jc w:val="left"/>
            </w:pPr>
            <w:r>
              <w:t xml:space="preserve">06</w:t>
            </w:r>
          </w:p>
        </w:tc>
        <w:tc>
          <w:tcPr/>
          <w:p>
            <w:pPr>
              <w:pStyle w:val="Compact"/>
              <w:jc w:val="left"/>
            </w:pPr>
            <w:r>
              <w:t xml:space="preserve">Teacher Secondary – Physical Education and Sports (Grades 1–5)</w:t>
            </w:r>
          </w:p>
        </w:tc>
        <w:tc>
          <w:tcPr/>
          <w:p>
            <w:pPr>
              <w:pStyle w:val="Compact"/>
              <w:jc w:val="left"/>
            </w:pPr>
            <w:r>
              <w:t xml:space="preserve">Physical Education</w:t>
            </w:r>
          </w:p>
        </w:tc>
        <w:tc>
          <w:tcPr/>
          <w:p>
            <w:pPr>
              <w:pStyle w:val="Compact"/>
              <w:jc w:val="left"/>
            </w:pPr>
            <w:r>
              <w:t xml:space="preserve">2</w:t>
            </w:r>
          </w:p>
        </w:tc>
        <w:tc>
          <w:tcPr/>
          <w:p>
            <w:pPr>
              <w:pStyle w:val="Compact"/>
              <w:jc w:val="left"/>
            </w:pPr>
            <w:r>
              <w:t xml:space="preserve">Full-time positions / academic year</w:t>
            </w:r>
          </w:p>
        </w:tc>
        <w:tc>
          <w:tcPr/>
          <w:p>
            <w:pPr>
              <w:pStyle w:val="Compact"/>
              <w:jc w:val="left"/>
            </w:pPr>
            <w:r>
              <w:t xml:space="preserve">16,500.00</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Teacher Secondary – Technology and Informatics (Grades 1–5)</w:t>
            </w:r>
          </w:p>
        </w:tc>
        <w:tc>
          <w:tcPr/>
          <w:p>
            <w:pPr>
              <w:pStyle w:val="Compact"/>
              <w:jc w:val="left"/>
            </w:pPr>
            <w:r>
              <w:t xml:space="preserve">Technology</w:t>
            </w:r>
          </w:p>
        </w:tc>
        <w:tc>
          <w:tcPr/>
          <w:p>
            <w:pPr>
              <w:pStyle w:val="Compact"/>
              <w:jc w:val="left"/>
            </w:pPr>
            <w:r>
              <w:t xml:space="preserve">2</w:t>
            </w:r>
          </w:p>
        </w:tc>
        <w:tc>
          <w:tcPr/>
          <w:p>
            <w:pPr>
              <w:pStyle w:val="Compact"/>
              <w:jc w:val="left"/>
            </w:pPr>
            <w:r>
              <w:t xml:space="preserve">Full-time positions / academic year</w:t>
            </w:r>
          </w:p>
        </w:tc>
        <w:tc>
          <w:tcPr/>
          <w:p>
            <w:pPr>
              <w:pStyle w:val="Compact"/>
              <w:jc w:val="left"/>
            </w:pPr>
            <w:r>
              <w:t xml:space="preserve">18,900.00</w:t>
            </w:r>
          </w:p>
        </w:tc>
        <w:tc>
          <w:tcPr/>
          <w:p>
            <w:pPr>
              <w:pStyle w:val="Compact"/>
              <w:jc w:val="left"/>
            </w:pPr>
            <w:r>
              <w:t xml:space="preserve">37,800.00</w:t>
            </w:r>
          </w:p>
        </w:tc>
      </w:tr>
      <w:tr>
        <w:tc>
          <w:tcPr/>
          <w:p>
            <w:pPr>
              <w:pStyle w:val="Compact"/>
              <w:jc w:val="left"/>
            </w:pPr>
            <w:r>
              <w:t xml:space="preserve">08</w:t>
            </w:r>
          </w:p>
        </w:tc>
        <w:tc>
          <w:tcPr/>
          <w:p>
            <w:pPr>
              <w:pStyle w:val="Compact"/>
              <w:jc w:val="left"/>
            </w:pPr>
            <w:r>
              <w:t xml:space="preserve">Teacher Secondary – Art and Music Education (Grades 1–5)</w:t>
            </w:r>
          </w:p>
        </w:tc>
        <w:tc>
          <w:tcPr/>
          <w:p>
            <w:pPr>
              <w:pStyle w:val="Compact"/>
              <w:jc w:val="left"/>
            </w:pPr>
            <w:r>
              <w:t xml:space="preserve">Art / Music</w:t>
            </w:r>
          </w:p>
        </w:tc>
        <w:tc>
          <w:tcPr/>
          <w:p>
            <w:pPr>
              <w:pStyle w:val="Compact"/>
              <w:jc w:val="left"/>
            </w:pPr>
            <w:r>
              <w:t xml:space="preserve">2</w:t>
            </w:r>
          </w:p>
        </w:tc>
        <w:tc>
          <w:tcPr/>
          <w:p>
            <w:pPr>
              <w:pStyle w:val="Compact"/>
              <w:jc w:val="left"/>
            </w:pPr>
            <w:r>
              <w:t xml:space="preserve">Full-time positions / academic year</w:t>
            </w:r>
          </w:p>
        </w:tc>
        <w:tc>
          <w:tcPr/>
          <w:p>
            <w:pPr>
              <w:pStyle w:val="Compact"/>
              <w:jc w:val="left"/>
            </w:pPr>
            <w:r>
              <w:t xml:space="preserve">16,500.00</w:t>
            </w:r>
          </w:p>
        </w:tc>
        <w:tc>
          <w:tcPr/>
          <w:p>
            <w:pPr>
              <w:pStyle w:val="Compact"/>
              <w:jc w:val="left"/>
            </w:pPr>
            <w:r>
              <w:t xml:space="preserve">33,000.00</w:t>
            </w:r>
          </w:p>
        </w:tc>
      </w:tr>
      <w:tr>
        <w:tc>
          <w:tcPr>
            <w:gridSpan w:val="6"/>
          </w:tcPr>
          <w:p>
            <w:pPr>
              <w:pStyle w:val="Compact"/>
              <w:jc w:val="right"/>
            </w:pPr>
            <w:r>
              <w:t xml:space="preserve">SUBTOTAL (18 Teacher Secondary Positions)</w:t>
            </w:r>
          </w:p>
        </w:tc>
        <w:tc>
          <w:tcPr/>
          <w:p>
            <w:pPr>
              <w:pStyle w:val="Compact"/>
              <w:jc w:val="left"/>
            </w:pPr>
            <w:r>
              <w:t xml:space="preserve">397,700.00</w:t>
            </w:r>
          </w:p>
        </w:tc>
      </w:tr>
      <w:tr>
        <w:tc>
          <w:tcPr>
            <w:gridSpan w:val="6"/>
          </w:tcPr>
          <w:p>
            <w:pPr>
              <w:pStyle w:val="Compact"/>
              <w:jc w:val="right"/>
            </w:pPr>
            <w:r>
              <w:t xml:space="preserve">IGV (18% – General Sales Tax, Peru)</w:t>
            </w:r>
          </w:p>
        </w:tc>
        <w:tc>
          <w:tcPr/>
          <w:p>
            <w:pPr>
              <w:pStyle w:val="Compact"/>
              <w:jc w:val="left"/>
            </w:pPr>
            <w:r>
              <w:t xml:space="preserve">71,586.00</w:t>
            </w:r>
          </w:p>
        </w:tc>
      </w:tr>
      <w:tr>
        <w:tc>
          <w:tcPr>
            <w:gridSpan w:val="6"/>
          </w:tcPr>
          <w:p>
            <w:pPr>
              <w:pStyle w:val="Compact"/>
              <w:jc w:val="right"/>
            </w:pPr>
            <w:r>
              <w:t xml:space="preserve">GRAND TOTAL (PEN)</w:t>
            </w:r>
          </w:p>
        </w:tc>
        <w:tc>
          <w:tcPr/>
          <w:p>
            <w:pPr>
              <w:pStyle w:val="Compact"/>
              <w:jc w:val="left"/>
            </w:pPr>
            <w:r>
              <w:t xml:space="preserve">469,286.00</w:t>
            </w:r>
          </w:p>
        </w:tc>
      </w:tr>
    </w:tbl>
    <w:bookmarkEnd w:id="24"/>
    <w:bookmarkStart w:id="25" w:name="X3fc5ebea798a86a77f8f5176a95f8ff6da23cb7"/>
    <w:p>
      <w:pPr>
        <w:pStyle w:val="Heading2"/>
      </w:pPr>
      <w:r>
        <w:t xml:space="preserve">3. Qualification Requirements for Teacher Secondary Personnel</w:t>
      </w:r>
    </w:p>
    <w:p>
      <w:pPr>
        <w:pStyle w:val="FirstParagraph"/>
      </w:pPr>
      <w:r>
        <w:t xml:space="preserve">All</w:t>
      </w:r>
      <w:r>
        <w:t xml:space="preserve"> </w:t>
      </w:r>
      <w:r>
        <w:t xml:space="preserve">Teacher Secondary</w:t>
      </w:r>
      <w:r>
        <w:t xml:space="preserve"> </w:t>
      </w:r>
      <w:r>
        <w:t xml:space="preserve">candidates engaged under this Purchase Order must meet the following minimum qualifications as mandated by the Peruvian education system:</w:t>
      </w:r>
    </w:p>
    <w:p>
      <w:pPr>
        <w:numPr>
          <w:ilvl w:val="0"/>
          <w:numId w:val="1001"/>
        </w:numPr>
        <w:pStyle w:val="Compact"/>
      </w:pPr>
      <w:r>
        <w:t xml:space="preserve">Hold a valid professional degree (Licenciatura) in the respective discipline from a university accredited by SUNEDU (Superintendencia Nacional de Educación Superior Universitaria) in Peru.</w:t>
      </w:r>
    </w:p>
    <w:p>
      <w:pPr>
        <w:numPr>
          <w:ilvl w:val="0"/>
          <w:numId w:val="1001"/>
        </w:numPr>
        <w:pStyle w:val="Compact"/>
      </w:pPr>
      <w:r>
        <w:t xml:space="preserve">Possess a valid teaching certification for the secondary education level (Nivel Secundaria) issued by the Ministry of Education of Peru.</w:t>
      </w:r>
    </w:p>
    <w:p>
      <w:pPr>
        <w:numPr>
          <w:ilvl w:val="0"/>
          <w:numId w:val="1001"/>
        </w:numPr>
        <w:pStyle w:val="Compact"/>
      </w:pPr>
      <w:r>
        <w:t xml:space="preserve">Demonstrate a minimum of three (3) years of documented teaching experience at the secondary level in Peru.</w:t>
      </w:r>
    </w:p>
    <w:p>
      <w:pPr>
        <w:numPr>
          <w:ilvl w:val="0"/>
          <w:numId w:val="1001"/>
        </w:numPr>
        <w:pStyle w:val="Compact"/>
      </w:pPr>
      <w:r>
        <w:t xml:space="preserve">Have a clean criminal background record (Certificado de Antecedentes Penales) obtained from the Ministry of the Interior of Peru.</w:t>
      </w:r>
    </w:p>
    <w:p>
      <w:pPr>
        <w:numPr>
          <w:ilvl w:val="0"/>
          <w:numId w:val="1001"/>
        </w:numPr>
        <w:pStyle w:val="Compact"/>
      </w:pPr>
      <w:r>
        <w:t xml:space="preserve">Pass a medical fitness examination conducted at a clinic registered in Lima, Peru.</w:t>
      </w:r>
    </w:p>
    <w:p>
      <w:pPr>
        <w:numPr>
          <w:ilvl w:val="0"/>
          <w:numId w:val="1001"/>
        </w:numPr>
        <w:pStyle w:val="Compact"/>
      </w:pPr>
      <w:r>
        <w:t xml:space="preserve">Complete the onboarding training program provided by the Instituto Educativo Superior de Lima prior to the start of the academic year.</w:t>
      </w:r>
    </w:p>
    <w:bookmarkEnd w:id="25"/>
    <w:bookmarkStart w:id="26" w:name="delivery-and-performance-schedule"/>
    <w:p>
      <w:pPr>
        <w:pStyle w:val="Heading2"/>
      </w:pPr>
      <w:r>
        <w:t xml:space="preserve">4. Delivery and Performance Schedule</w:t>
      </w:r>
    </w:p>
    <w:p>
      <w:pPr>
        <w:pStyle w:val="FirstParagraph"/>
      </w:pPr>
      <w:r>
        <w:t xml:space="preserve">The Supplier shall ensure that all</w:t>
      </w:r>
      <w:r>
        <w:t xml:space="preserve"> </w:t>
      </w:r>
      <w:r>
        <w:t xml:space="preserve">Teacher Secondary</w:t>
      </w:r>
      <w:r>
        <w:t xml:space="preserve"> </w:t>
      </w:r>
      <w:r>
        <w:t xml:space="preserve">personnel are fully onboarded, assigned to their respective classrooms, and commencing instruction no later than</w:t>
      </w:r>
      <w:r>
        <w:t xml:space="preserve"> </w:t>
      </w:r>
      <w:r>
        <w:rPr>
          <w:bCs/>
          <w:b/>
        </w:rPr>
        <w:t xml:space="preserve">March 3, 2026</w:t>
      </w:r>
      <w:r>
        <w:t xml:space="preserve">, which corresponds to the official start date of the second semester of the 2026 academic year in Lima, Peru. The service period covered by this Purchase Order extends from March 3, 2026, through December 18, 2026, encompassing the full second academic semester. Any delays in the delivery of qualified Teacher Secondary personnel beyond the stipulated date shall be subject to the penalty clauses outlined in Section 6 of this document.</w:t>
      </w:r>
    </w:p>
    <w:bookmarkEnd w:id="26"/>
    <w:bookmarkStart w:id="27" w:name="payment-terms"/>
    <w:p>
      <w:pPr>
        <w:pStyle w:val="Heading2"/>
      </w:pPr>
      <w:r>
        <w:t xml:space="preserve">5. Payment Terms</w:t>
      </w:r>
    </w:p>
    <w:p>
      <w:pPr>
        <w:pStyle w:val="FirstParagraph"/>
      </w:pPr>
      <w:r>
        <w:t xml:space="preserve">Payment for the services rendered under this Purchase Order shall be made in Peruvian Soles (PEN) via bank transfer to the account designated by the Supplier. The payment schedule is as follows:</w:t>
      </w:r>
    </w:p>
    <w:p>
      <w:pPr>
        <w:numPr>
          <w:ilvl w:val="0"/>
          <w:numId w:val="1002"/>
        </w:numPr>
        <w:pStyle w:val="Compact"/>
      </w:pPr>
      <w:r>
        <w:rPr>
          <w:bCs/>
          <w:b/>
        </w:rPr>
        <w:t xml:space="preserve">30% advance payment</w:t>
      </w:r>
      <w:r>
        <w:t xml:space="preserve"> </w:t>
      </w:r>
      <w:r>
        <w:t xml:space="preserve">upon formal acceptance and signature of this Purchase Order by both parties.</w:t>
      </w:r>
    </w:p>
    <w:p>
      <w:pPr>
        <w:numPr>
          <w:ilvl w:val="0"/>
          <w:numId w:val="1002"/>
        </w:numPr>
        <w:pStyle w:val="Compact"/>
      </w:pPr>
      <w:r>
        <w:rPr>
          <w:bCs/>
          <w:b/>
        </w:rPr>
        <w:t xml:space="preserve">40% interim payment</w:t>
      </w:r>
      <w:r>
        <w:t xml:space="preserve"> </w:t>
      </w:r>
      <w:r>
        <w:t xml:space="preserve">due upon completion of the first six (6) months of the service period (by September 1, 2026).</w:t>
      </w:r>
    </w:p>
    <w:p>
      <w:pPr>
        <w:numPr>
          <w:ilvl w:val="0"/>
          <w:numId w:val="1002"/>
        </w:numPr>
        <w:pStyle w:val="Compact"/>
      </w:pPr>
      <w:r>
        <w:rPr>
          <w:bCs/>
          <w:b/>
        </w:rPr>
        <w:t xml:space="preserve">30% final payment</w:t>
      </w:r>
      <w:r>
        <w:t xml:space="preserve"> </w:t>
      </w:r>
      <w:r>
        <w:t xml:space="preserve">due upon successful completion of the full service period and submission of the final performance report by December 20, 2026.</w:t>
      </w:r>
    </w:p>
    <w:p>
      <w:pPr>
        <w:pStyle w:val="FirstParagraph"/>
      </w:pPr>
      <w:r>
        <w:t xml:space="preserve">All invoices must be issued in accordance with the electronic invoicing regulations (Facturación Electrónica) established by the Superintendencia Nacional de Aduanas y de Administración Tributaria (SUNAT) of Peru. Invoices shall reference this Purchase Order number (PO-LIM-2025-00472) and shall be submitted to the accounts payable department of the Instituto Educativo Superior de Lima, Lima, Peru.</w:t>
      </w:r>
    </w:p>
    <w:bookmarkEnd w:id="27"/>
    <w:bookmarkStart w:id="28"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civil and commercial laws of the Republic of Peru. Any disputes arising from this Purchase Order shall be resolved through the competent courts of Lima, Peru.</w:t>
      </w:r>
    </w:p>
    <w:p>
      <w:pPr>
        <w:numPr>
          <w:ilvl w:val="0"/>
          <w:numId w:val="1003"/>
        </w:numPr>
        <w:pStyle w:val="Compact"/>
      </w:pPr>
      <w:r>
        <w:rPr>
          <w:bCs/>
          <w:b/>
        </w:rPr>
        <w:t xml:space="preserve">Confidentiality:</w:t>
      </w:r>
      <w:r>
        <w:t xml:space="preserve"> </w:t>
      </w:r>
      <w:r>
        <w:t xml:space="preserve">Both parties agree to maintain strict confidentiality regarding all student records, institutional data, and proprietary teaching methodologies associated with the Teacher Secondary personnel engaged under this Purchase Order.</w:t>
      </w:r>
    </w:p>
    <w:p>
      <w:pPr>
        <w:numPr>
          <w:ilvl w:val="0"/>
          <w:numId w:val="1003"/>
        </w:numPr>
        <w:pStyle w:val="Compact"/>
      </w:pPr>
      <w:r>
        <w:rPr>
          <w:bCs/>
          <w:b/>
        </w:rPr>
        <w:t xml:space="preserve">Substitution:</w:t>
      </w:r>
      <w:r>
        <w:t xml:space="preserve"> </w:t>
      </w:r>
      <w:r>
        <w:t xml:space="preserve">The Supplier shall not substitute any Teacher Secondary personnel without prior written approval from the Purchasing Entity. Any proposed replacement must meet or exceed the qualifications specified in Section 3.</w:t>
      </w:r>
    </w:p>
    <w:p>
      <w:pPr>
        <w:numPr>
          <w:ilvl w:val="0"/>
          <w:numId w:val="1003"/>
        </w:numPr>
        <w:pStyle w:val="Compact"/>
      </w:pPr>
      <w:r>
        <w:rPr>
          <w:bCs/>
          <w:b/>
        </w:rPr>
        <w:t xml:space="preserve">Penalties for Non-Performance:</w:t>
      </w:r>
      <w:r>
        <w:t xml:space="preserve"> </w:t>
      </w:r>
      <w:r>
        <w:t xml:space="preserve">In the event that the Supplier fails to deliver the full complement of Teacher Secondary personnel by the agreed-upon date, a penalty of 0.5% of the total Purchase Order value per calendar day of delay shall be applied, up to a maximum of 10% of the total value.</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effective date of termination.</w:t>
      </w:r>
    </w:p>
    <w:p>
      <w:pPr>
        <w:numPr>
          <w:ilvl w:val="0"/>
          <w:numId w:val="1003"/>
        </w:numPr>
        <w:pStyle w:val="Compact"/>
      </w:pPr>
      <w:r>
        <w:rPr>
          <w:bCs/>
          <w:b/>
        </w:rPr>
        <w:t xml:space="preserve">Compliance with Peruvian Labor Law:</w:t>
      </w:r>
      <w:r>
        <w:t xml:space="preserve"> </w:t>
      </w:r>
      <w:r>
        <w:t xml:space="preserve">The Supplier is solely responsible for ensuring that all Teacher Secondary personnel are properly registered with the Peruvian social security system (EsSalud) and the pension system (ONP or AFP) in compliance with the labor legislation of Peru.</w:t>
      </w:r>
    </w:p>
    <w:p>
      <w:pPr>
        <w:numPr>
          <w:ilvl w:val="0"/>
          <w:numId w:val="1003"/>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Lima, Peru metropolitan area.</w:t>
      </w:r>
    </w:p>
    <w:p>
      <w:pPr>
        <w:numPr>
          <w:ilvl w:val="0"/>
          <w:numId w:val="1003"/>
        </w:numPr>
        <w:pStyle w:val="Compact"/>
      </w:pPr>
      <w:r>
        <w:rPr>
          <w:bCs/>
          <w:b/>
        </w:rPr>
        <w:t xml:space="preserve">Intellectual Property:</w:t>
      </w:r>
      <w:r>
        <w:t xml:space="preserve"> </w:t>
      </w:r>
      <w:r>
        <w:t xml:space="preserve">All lesson plans, curricular materials, and pedagogical resources developed specifically for the Instituto Educativo Superior de Lima under this Purchase Order shall remain the exclusive property of the Purchasing Entity.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for the procurement of Teacher Secondary services in Lima, Peru. This document constitutes a binding agreement between the parties as of the date of the last signature.</w:t>
      </w:r>
    </w:p>
    <w:bookmarkEnd w:id="29"/>
    <w:p>
      <w:pPr>
        <w:pStyle w:val="BodyText"/>
      </w:pPr>
      <w:r>
        <w:rPr>
          <w:bCs/>
          <w:b/>
        </w:rPr>
        <w:t xml:space="preserve">Lic. María Elena Quispe Torres</w:t>
      </w:r>
      <w:r>
        <w:br/>
      </w:r>
      <w:r>
        <w:t xml:space="preserve">Director of Human Resources</w:t>
      </w:r>
      <w:r>
        <w:br/>
      </w:r>
      <w:r>
        <w:t xml:space="preserve">Instituto Educativo Superior de Lima</w:t>
      </w:r>
      <w:r>
        <w:br/>
      </w:r>
      <w:r>
        <w:t xml:space="preserve">Lima, Peru</w:t>
      </w:r>
      <w:r>
        <w:br/>
      </w:r>
      <w:r>
        <w:t xml:space="preserve">Date: _______________</w:t>
      </w:r>
    </w:p>
    <w:p>
      <w:pPr>
        <w:pStyle w:val="BodyText"/>
      </w:pPr>
      <w:r>
        <w:rPr>
          <w:bCs/>
          <w:b/>
        </w:rPr>
        <w:t xml:space="preserve">Ing. Carlos Alberto Mendoza Ríos</w:t>
      </w:r>
      <w:r>
        <w:br/>
      </w:r>
      <w:r>
        <w:t xml:space="preserve">General Manager</w:t>
      </w:r>
      <w:r>
        <w:br/>
      </w:r>
      <w:r>
        <w:t xml:space="preserve">Consultora Educativa del Pacífico S.A.C.</w:t>
      </w:r>
      <w:r>
        <w:br/>
      </w:r>
      <w:r>
        <w:t xml:space="preserve">Lima, Peru</w:t>
      </w:r>
      <w:r>
        <w:br/>
      </w:r>
      <w:r>
        <w:t xml:space="preserve">Date: _______________</w:t>
      </w:r>
    </w:p>
    <w:p>
      <w:pPr>
        <w:pStyle w:val="BodyText"/>
      </w:pPr>
      <w:r>
        <w:rPr>
          <w:bCs/>
          <w:b/>
        </w:rPr>
        <w:t xml:space="preserve">PURCHASE ORDER PO-LIM-2025-00472</w:t>
      </w:r>
      <w:r>
        <w:t xml:space="preserve"> </w:t>
      </w:r>
      <w:r>
        <w:t xml:space="preserve">| Instituto Educativo Superior de Lima – Lima, Peru</w:t>
      </w:r>
    </w:p>
    <w:p>
      <w:pPr>
        <w:pStyle w:val="BodyText"/>
      </w:pPr>
      <w:r>
        <w:t xml:space="preserve">This document is issued in two (2) original copies, one for each party. Electronic copies bear the same legal validity as originals under Peruvian law.</w:t>
      </w:r>
    </w:p>
    <w:p>
      <w:pPr>
        <w:pStyle w:val="BodyText"/>
      </w:pPr>
      <w:r>
        <w:t xml:space="preserve">Document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Peru Lima</dc:title>
  <dc:creator/>
  <dc:language>en</dc:language>
  <cp:keywords/>
  <dcterms:created xsi:type="dcterms:W3CDTF">2026-10-10T01:54:55Z</dcterms:created>
  <dcterms:modified xsi:type="dcterms:W3CDTF">2026-10-10T01:54:55Z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