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Ministry of Education – Kingdom of Saudi Arabia</w:t>
      </w:r>
    </w:p>
    <w:p>
      <w:pPr>
        <w:pStyle w:val="BodyText"/>
      </w:pPr>
      <w:r>
        <w:t xml:space="preserve">Regional Directorate of Education –</w:t>
      </w:r>
      <w:r>
        <w:t xml:space="preserve"> </w:t>
      </w:r>
      <w:r>
        <w:t xml:space="preserve">Saudi Arabia Riyadh</w:t>
      </w:r>
    </w:p>
    <w:p>
      <w:pPr>
        <w:pStyle w:val="BodyText"/>
      </w:pPr>
      <w:r>
        <w:t xml:space="preserve">Office of Secondary Education Procurement &amp; Human Resources</w:t>
      </w:r>
    </w:p>
    <w:p>
      <w:pPr>
        <w:pStyle w:val="BodyText"/>
      </w:pPr>
      <w:r>
        <w:t xml:space="preserve">King Fahd Road, Al Olaya District,</w:t>
      </w:r>
      <w:r>
        <w:t xml:space="preserve"> </w:t>
      </w:r>
      <w:r>
        <w:t xml:space="preserve">Riyadh</w:t>
      </w:r>
      <w:r>
        <w:t xml:space="preserve">, 12211, Kingdom of Saudi Arabia</w:t>
      </w:r>
    </w:p>
    <w:bookmarkEnd w:id="20"/>
    <w:p>
      <w:pPr>
        <w:pStyle w:val="BodyText"/>
      </w:pPr>
      <w:r>
        <w:rPr>
          <w:bCs/>
          <w:b/>
        </w:rPr>
        <w:t xml:space="preserve">Purchase Order No.:</w:t>
      </w:r>
      <w:r>
        <w:t xml:space="preserve"> </w:t>
      </w:r>
      <w:r>
        <w:t xml:space="preserve">PO-SE-2025-04872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Teacher Secondary Division</w:t>
      </w:r>
    </w:p>
    <w:p>
      <w:pPr>
        <w:pStyle w:val="BodyText"/>
      </w:pPr>
      <w:r>
        <w:rPr>
          <w:bCs/>
          <w:b/>
        </w:rPr>
        <w:t xml:space="preserve">Project Code:</w:t>
      </w:r>
      <w:r>
        <w:t xml:space="preserve"> </w:t>
      </w:r>
      <w:r>
        <w:t xml:space="preserve">TSEC-RYD-2025-Q3</w:t>
      </w:r>
    </w:p>
    <w:p>
      <w:pPr>
        <w:pStyle w:val="BodyText"/>
      </w:pPr>
      <w:r>
        <w:rPr>
          <w:bCs/>
          <w:b/>
        </w:rPr>
        <w:t xml:space="preserve">Priority:</w:t>
      </w:r>
      <w:r>
        <w:t xml:space="preserve"> </w:t>
      </w:r>
      <w:r>
        <w:t xml:space="preserve">High – Academic Year 2025/2026</w:t>
      </w:r>
    </w:p>
    <w:p>
      <w:pPr>
        <w:pStyle w:val="BodyText"/>
      </w:pPr>
      <w:r>
        <w:rPr>
          <w:bCs/>
          <w:b/>
        </w:rPr>
        <w:t xml:space="preserve">Buyer Contact:</w:t>
      </w:r>
      <w:r>
        <w:t xml:space="preserve"> </w:t>
      </w:r>
      <w:r>
        <w:t xml:space="preserve">Eng. Khalid Al-Rashid</w:t>
      </w:r>
    </w:p>
    <w:p>
      <w:pPr>
        <w:pStyle w:val="BodyText"/>
      </w:pPr>
      <w:r>
        <w:rPr>
          <w:bCs/>
          <w:b/>
        </w:rPr>
        <w:t xml:space="preserve">Email:</w:t>
      </w:r>
      <w:r>
        <w:t xml:space="preserve"> </w:t>
      </w:r>
      <w:r>
        <w:t xml:space="preserve">k.alrashid@moedu.sa</w:t>
      </w:r>
    </w:p>
    <w:p>
      <w:pPr>
        <w:pStyle w:val="BodyText"/>
      </w:pPr>
      <w:r>
        <w:rPr>
          <w:bCs/>
          <w:b/>
        </w:rPr>
        <w:t xml:space="preserve">Phone:</w:t>
      </w:r>
      <w:r>
        <w:t xml:space="preserve"> </w:t>
      </w:r>
      <w:r>
        <w:t xml:space="preserve">+966 11 456 7890</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EduTalent Middle East FZE – Riyadh Branch</w:t>
            </w:r>
          </w:p>
        </w:tc>
      </w:tr>
      <w:tr>
        <w:tc>
          <w:tcPr/>
          <w:p>
            <w:pPr>
              <w:pStyle w:val="Compact"/>
              <w:jc w:val="left"/>
            </w:pPr>
            <w:r>
              <w:rPr>
                <w:bCs/>
                <w:b/>
              </w:rPr>
              <w:t xml:space="preserve">CR Number:</w:t>
            </w:r>
          </w:p>
        </w:tc>
        <w:tc>
          <w:tcPr/>
          <w:p>
            <w:pPr>
              <w:pStyle w:val="Compact"/>
              <w:jc w:val="left"/>
            </w:pPr>
            <w:r>
              <w:t xml:space="preserve">1010456789</w:t>
            </w:r>
          </w:p>
        </w:tc>
      </w:tr>
      <w:tr>
        <w:tc>
          <w:tcPr/>
          <w:p>
            <w:pPr>
              <w:pStyle w:val="Compact"/>
              <w:jc w:val="left"/>
            </w:pPr>
            <w:r>
              <w:rPr>
                <w:bCs/>
                <w:b/>
              </w:rPr>
              <w:t xml:space="preserve">VAT Number:</w:t>
            </w:r>
          </w:p>
        </w:tc>
        <w:tc>
          <w:tcPr/>
          <w:p>
            <w:pPr>
              <w:pStyle w:val="Compact"/>
              <w:jc w:val="left"/>
            </w:pPr>
            <w:r>
              <w:t xml:space="preserve">310123456700003</w:t>
            </w:r>
          </w:p>
        </w:tc>
      </w:tr>
      <w:tr>
        <w:tc>
          <w:tcPr/>
          <w:p>
            <w:pPr>
              <w:pStyle w:val="Compact"/>
              <w:jc w:val="left"/>
            </w:pPr>
            <w:r>
              <w:rPr>
                <w:bCs/>
                <w:b/>
              </w:rPr>
              <w:t xml:space="preserve">Address:</w:t>
            </w:r>
          </w:p>
        </w:tc>
        <w:tc>
          <w:tcPr/>
          <w:p>
            <w:pPr>
              <w:pStyle w:val="Compact"/>
              <w:jc w:val="left"/>
            </w:pPr>
            <w:r>
              <w:t xml:space="preserve">King Abdullah Financial District (KAFD), Tower 3, Floor 12, Riyadh 13519, Saudi Arabia</w:t>
            </w:r>
          </w:p>
        </w:tc>
      </w:tr>
      <w:tr>
        <w:tc>
          <w:tcPr/>
          <w:p>
            <w:pPr>
              <w:pStyle w:val="Compact"/>
              <w:jc w:val="left"/>
            </w:pPr>
            <w:r>
              <w:rPr>
                <w:bCs/>
                <w:b/>
              </w:rPr>
              <w:t xml:space="preserve">Contact Person:</w:t>
            </w:r>
          </w:p>
        </w:tc>
        <w:tc>
          <w:tcPr/>
          <w:p>
            <w:pPr>
              <w:pStyle w:val="Compact"/>
              <w:jc w:val="left"/>
            </w:pPr>
            <w:r>
              <w:t xml:space="preserve">Ms. Sarah Al-Otaibi – Procurement Manager</w:t>
            </w:r>
          </w:p>
        </w:tc>
      </w:tr>
      <w:tr>
        <w:tc>
          <w:tcPr/>
          <w:p>
            <w:pPr>
              <w:pStyle w:val="Compact"/>
              <w:jc w:val="left"/>
            </w:pPr>
            <w:r>
              <w:rPr>
                <w:bCs/>
                <w:b/>
              </w:rPr>
              <w:t xml:space="preserve">Email / Phone:</w:t>
            </w:r>
          </w:p>
        </w:tc>
        <w:tc>
          <w:tcPr/>
          <w:p>
            <w:pPr>
              <w:pStyle w:val="Compact"/>
              <w:jc w:val="left"/>
            </w:pPr>
            <w:r>
              <w:t xml:space="preserve">s.otaibi@edutalent-me.com / +966 55 123 4567</w:t>
            </w:r>
          </w:p>
        </w:tc>
      </w:tr>
    </w:tbl>
    <w:bookmarkEnd w:id="21"/>
    <w:bookmarkStart w:id="22" w:name="X7a4cc0425d095e828d5c9b3f77560c7184484d2"/>
    <w:p>
      <w:pPr>
        <w:pStyle w:val="Heading2"/>
      </w:pPr>
      <w:r>
        <w:t xml:space="preserve">2. Scope of Purchase – Teacher Secondary Program</w:t>
      </w:r>
    </w:p>
    <w:p>
      <w:pPr>
        <w:pStyle w:val="FirstParagraph"/>
      </w:pPr>
      <w:r>
        <w:t xml:space="preserve">This</w:t>
      </w:r>
      <w:r>
        <w:t xml:space="preserve"> </w:t>
      </w:r>
      <w:r>
        <w:t xml:space="preserve">Purchase Order</w:t>
      </w:r>
      <w:r>
        <w:t xml:space="preserve"> </w:t>
      </w:r>
      <w:r>
        <w:t xml:space="preserve">is issued by the Regional Directorate of Education in</w:t>
      </w:r>
      <w:r>
        <w:t xml:space="preserve"> </w:t>
      </w:r>
      <w:r>
        <w:t xml:space="preserve">Saudi Arabia Riyadh</w:t>
      </w:r>
      <w:r>
        <w:t xml:space="preserve"> </w:t>
      </w:r>
      <w:r>
        <w:t xml:space="preserve">to procure professional services, training programs, and educational resources specifically designated for the</w:t>
      </w:r>
      <w:r>
        <w:t xml:space="preserve"> </w:t>
      </w:r>
      <w:r>
        <w:t xml:space="preserve">Teacher Secondary</w:t>
      </w:r>
      <w:r>
        <w:t xml:space="preserve"> </w:t>
      </w:r>
      <w:r>
        <w:t xml:space="preserve">cadre. The scope encompasses the recruitment, onboarding, continuous professional development, and supply of instructional materials for secondary-level educators (Grades 10–12) across all public secondary schools within the Riyadh metropolitan area for the academic year 2025/2026. All deliverables must comply with the Saudi Ministry of Education standards, the Vision 2030 educational transformation framework, and the National Curriculum for Secondary Education.</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&amp; onboarding services for</w:t>
            </w:r>
            <w:r>
              <w:t xml:space="preserve"> </w:t>
            </w:r>
            <w:r>
              <w:rPr>
                <w:bCs/>
                <w:b/>
              </w:rPr>
              <w:t xml:space="preserve">Teacher Secondary</w:t>
            </w:r>
            <w:r>
              <w:t xml:space="preserve"> </w:t>
            </w:r>
            <w:r>
              <w:t xml:space="preserve">positions (Mathematics, Physics, Chemistry, Biology, Arabic, English, Social Studies) – Riyadh public secondary schools</w:t>
            </w:r>
          </w:p>
        </w:tc>
        <w:tc>
          <w:tcPr/>
          <w:p>
            <w:pPr>
              <w:pStyle w:val="Compact"/>
              <w:jc w:val="left"/>
            </w:pPr>
            <w:r>
              <w:t xml:space="preserve">320</w:t>
            </w:r>
          </w:p>
        </w:tc>
        <w:tc>
          <w:tcPr/>
          <w:p>
            <w:pPr>
              <w:pStyle w:val="Compact"/>
              <w:jc w:val="left"/>
            </w:pPr>
            <w:r>
              <w:t xml:space="preserve">Positions</w:t>
            </w:r>
          </w:p>
        </w:tc>
        <w:tc>
          <w:tcPr/>
          <w:p>
            <w:pPr>
              <w:pStyle w:val="Compact"/>
              <w:jc w:val="left"/>
            </w:pPr>
            <w:r>
              <w:t xml:space="preserve">12,500</w:t>
            </w:r>
          </w:p>
        </w:tc>
        <w:tc>
          <w:tcPr/>
          <w:p>
            <w:pPr>
              <w:pStyle w:val="Compact"/>
              <w:jc w:val="left"/>
            </w:pPr>
            <w:r>
              <w:t xml:space="preserve">4,000,000</w:t>
            </w:r>
          </w:p>
        </w:tc>
      </w:tr>
      <w:tr>
        <w:tc>
          <w:tcPr/>
          <w:p>
            <w:pPr>
              <w:pStyle w:val="Compact"/>
              <w:jc w:val="left"/>
            </w:pPr>
            <w:r>
              <w:t xml:space="preserve">02</w:t>
            </w:r>
          </w:p>
        </w:tc>
        <w:tc>
          <w:tcPr/>
          <w:p>
            <w:pPr>
              <w:pStyle w:val="Compact"/>
              <w:jc w:val="left"/>
            </w:pPr>
            <w:r>
              <w:t xml:space="preserve">Professional development &amp; pedagogical training program for</w:t>
            </w:r>
            <w:r>
              <w:t xml:space="preserve"> </w:t>
            </w:r>
            <w:r>
              <w:rPr>
                <w:bCs/>
                <w:b/>
              </w:rPr>
              <w:t xml:space="preserve">Teacher Secondary</w:t>
            </w:r>
            <w:r>
              <w:t xml:space="preserve"> </w:t>
            </w:r>
            <w:r>
              <w:t xml:space="preserve">staff – 40-hour intensive workshop (aligned with Saudi National Curriculum)</w:t>
            </w:r>
          </w:p>
        </w:tc>
        <w:tc>
          <w:tcPr/>
          <w:p>
            <w:pPr>
              <w:pStyle w:val="Compact"/>
              <w:jc w:val="left"/>
            </w:pPr>
            <w:r>
              <w:t xml:space="preserve">320</w:t>
            </w:r>
          </w:p>
        </w:tc>
        <w:tc>
          <w:tcPr/>
          <w:p>
            <w:pPr>
              <w:pStyle w:val="Compact"/>
              <w:jc w:val="left"/>
            </w:pPr>
            <w:r>
              <w:t xml:space="preserve">Participants</w:t>
            </w:r>
          </w:p>
        </w:tc>
        <w:tc>
          <w:tcPr/>
          <w:p>
            <w:pPr>
              <w:pStyle w:val="Compact"/>
              <w:jc w:val="left"/>
            </w:pPr>
            <w:r>
              <w:t xml:space="preserve">3,200</w:t>
            </w:r>
          </w:p>
        </w:tc>
        <w:tc>
          <w:tcPr/>
          <w:p>
            <w:pPr>
              <w:pStyle w:val="Compact"/>
              <w:jc w:val="left"/>
            </w:pPr>
            <w:r>
              <w:t xml:space="preserve">1,024,000</w:t>
            </w:r>
          </w:p>
        </w:tc>
      </w:tr>
      <w:tr>
        <w:tc>
          <w:tcPr/>
          <w:p>
            <w:pPr>
              <w:pStyle w:val="Compact"/>
              <w:jc w:val="left"/>
            </w:pPr>
            <w:r>
              <w:t xml:space="preserve">03</w:t>
            </w:r>
          </w:p>
        </w:tc>
        <w:tc>
          <w:tcPr/>
          <w:p>
            <w:pPr>
              <w:pStyle w:val="Compact"/>
              <w:jc w:val="left"/>
            </w:pPr>
            <w:r>
              <w:t xml:space="preserve">Digital learning platform licenses – annual subscription for</w:t>
            </w:r>
            <w:r>
              <w:t xml:space="preserve"> </w:t>
            </w:r>
            <w:r>
              <w:rPr>
                <w:bCs/>
                <w:b/>
              </w:rPr>
              <w:t xml:space="preserve">Teacher Secondary</w:t>
            </w:r>
            <w:r>
              <w:t xml:space="preserve"> </w:t>
            </w:r>
            <w:r>
              <w:t xml:space="preserve">instructional use (LMS + interactive content)</w:t>
            </w:r>
          </w:p>
        </w:tc>
        <w:tc>
          <w:tcPr/>
          <w:p>
            <w:pPr>
              <w:pStyle w:val="Compact"/>
              <w:jc w:val="left"/>
            </w:pPr>
            <w:r>
              <w:t xml:space="preserve">320</w:t>
            </w:r>
          </w:p>
        </w:tc>
        <w:tc>
          <w:tcPr/>
          <w:p>
            <w:pPr>
              <w:pStyle w:val="Compact"/>
              <w:jc w:val="left"/>
            </w:pPr>
            <w:r>
              <w:t xml:space="preserve">Licenses</w:t>
            </w:r>
          </w:p>
        </w:tc>
        <w:tc>
          <w:tcPr/>
          <w:p>
            <w:pPr>
              <w:pStyle w:val="Compact"/>
              <w:jc w:val="left"/>
            </w:pPr>
            <w:r>
              <w:t xml:space="preserve">1,800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Classroom instructional materials &amp; laboratory kits for secondary science subjects –</w:t>
            </w:r>
            <w:r>
              <w:t xml:space="preserve"> </w:t>
            </w:r>
            <w:r>
              <w:rPr>
                <w:bCs/>
                <w:b/>
              </w:rPr>
              <w:t xml:space="preserve">Teacher Secondary</w:t>
            </w:r>
            <w:r>
              <w:t xml:space="preserve"> </w:t>
            </w:r>
            <w:r>
              <w:t xml:space="preserve">supply package</w:t>
            </w:r>
          </w:p>
        </w:tc>
        <w:tc>
          <w:tcPr/>
          <w:p>
            <w:pPr>
              <w:pStyle w:val="Compact"/>
              <w:jc w:val="left"/>
            </w:pPr>
            <w:r>
              <w:t xml:space="preserve">180</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05</w:t>
            </w:r>
          </w:p>
        </w:tc>
        <w:tc>
          <w:tcPr/>
          <w:p>
            <w:pPr>
              <w:pStyle w:val="Compact"/>
              <w:jc w:val="left"/>
            </w:pPr>
            <w:r>
              <w:t xml:space="preserve">Mentorship &amp; coaching program – senior</w:t>
            </w:r>
            <w:r>
              <w:t xml:space="preserve"> </w:t>
            </w:r>
            <w:r>
              <w:rPr>
                <w:bCs/>
                <w:b/>
              </w:rPr>
              <w:t xml:space="preserve">Teacher Secondary</w:t>
            </w:r>
            <w:r>
              <w:t xml:space="preserve"> </w:t>
            </w:r>
            <w:r>
              <w:t xml:space="preserve">mentors assigned to newly recruited educators (12-month engagement)</w:t>
            </w:r>
          </w:p>
        </w:tc>
        <w:tc>
          <w:tcPr/>
          <w:p>
            <w:pPr>
              <w:pStyle w:val="Compact"/>
              <w:jc w:val="left"/>
            </w:pPr>
            <w:r>
              <w:t xml:space="preserve">80</w:t>
            </w:r>
          </w:p>
        </w:tc>
        <w:tc>
          <w:tcPr/>
          <w:p>
            <w:pPr>
              <w:pStyle w:val="Compact"/>
              <w:jc w:val="left"/>
            </w:pPr>
            <w:r>
              <w:t xml:space="preserve">Mentor pairs</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Assessment &amp; evaluation tooling – standardized testing software for</w:t>
            </w:r>
            <w:r>
              <w:t xml:space="preserve"> </w:t>
            </w:r>
            <w:r>
              <w:rPr>
                <w:bCs/>
                <w:b/>
              </w:rPr>
              <w:t xml:space="preserve">Teacher Secondary</w:t>
            </w:r>
            <w:r>
              <w:t xml:space="preserve"> </w:t>
            </w:r>
            <w:r>
              <w:t xml:space="preserve">performance monitoring (Riyadh region)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Administrative support &amp; HR compliance services – visa processing, Iqama sponsorship, and labor registration for expatriate</w:t>
            </w:r>
            <w:r>
              <w:t xml:space="preserve"> </w:t>
            </w:r>
            <w:r>
              <w:rPr>
                <w:bCs/>
                <w:b/>
              </w:rPr>
              <w:t xml:space="preserve">Teacher Secondary</w:t>
            </w:r>
            <w:r>
              <w:t xml:space="preserve"> </w:t>
            </w:r>
            <w:r>
              <w:t xml:space="preserve">staff in</w:t>
            </w:r>
            <w:r>
              <w:t xml:space="preserve"> </w:t>
            </w:r>
            <w:r>
              <w:rPr>
                <w:bCs/>
                <w:b/>
              </w:rPr>
              <w:t xml:space="preserve">Saudi Arabia Riyadh</w:t>
            </w:r>
          </w:p>
        </w:tc>
        <w:tc>
          <w:tcPr/>
          <w:p>
            <w:pPr>
              <w:pStyle w:val="Compact"/>
              <w:jc w:val="left"/>
            </w:pPr>
            <w:r>
              <w:t xml:space="preserve">120</w:t>
            </w:r>
          </w:p>
        </w:tc>
        <w:tc>
          <w:tcPr/>
          <w:p>
            <w:pPr>
              <w:pStyle w:val="Compact"/>
              <w:jc w:val="left"/>
            </w:pPr>
            <w:r>
              <w:t xml:space="preserve">Cases</w:t>
            </w:r>
          </w:p>
        </w:tc>
        <w:tc>
          <w:tcPr/>
          <w:p>
            <w:pPr>
              <w:pStyle w:val="Compact"/>
              <w:jc w:val="left"/>
            </w:pPr>
            <w:r>
              <w:t xml:space="preserve">4,200</w:t>
            </w:r>
          </w:p>
        </w:tc>
        <w:tc>
          <w:tcPr/>
          <w:p>
            <w:pPr>
              <w:pStyle w:val="Compact"/>
              <w:jc w:val="left"/>
            </w:pPr>
            <w:r>
              <w:t xml:space="preserve">504,000</w:t>
            </w:r>
          </w:p>
        </w:tc>
      </w:tr>
    </w:tbl>
    <w:p>
      <w:pPr>
        <w:pStyle w:val="BodyText"/>
      </w:pPr>
      <w:r>
        <w:t xml:space="preserve">Subtotal:</w:t>
      </w:r>
      <w:r>
        <w:t xml:space="preserve"> </w:t>
      </w:r>
      <w:r>
        <w:rPr>
          <w:bCs/>
          <w:b/>
        </w:rPr>
        <w:t xml:space="preserve">SAR 9,284,000.00</w:t>
      </w:r>
    </w:p>
    <w:p>
      <w:pPr>
        <w:pStyle w:val="BodyText"/>
      </w:pPr>
      <w:r>
        <w:t xml:space="preserve">VAT (15%):</w:t>
      </w:r>
      <w:r>
        <w:t xml:space="preserve"> </w:t>
      </w:r>
      <w:r>
        <w:rPr>
          <w:bCs/>
          <w:b/>
        </w:rPr>
        <w:t xml:space="preserve">SAR 1,392,600.00</w:t>
      </w:r>
    </w:p>
    <w:p>
      <w:pPr>
        <w:pStyle w:val="BodyText"/>
      </w:pPr>
      <w:r>
        <w:t xml:space="preserve">Grand Total: SAR 10,676,600.00</w:t>
      </w:r>
    </w:p>
    <w:p>
      <w:pPr>
        <w:pStyle w:val="BodyText"/>
      </w:pPr>
      <w:r>
        <w:rPr>
          <w:iCs/>
          <w:i/>
        </w:rPr>
        <w:t xml:space="preserve">(Ten Million Six Hundred Seventy-Six Thousand Six Hundred Saudi Riyals Only)</w:t>
      </w:r>
    </w:p>
    <w:bookmarkEnd w:id="23"/>
    <w:bookmarkStart w:id="24" w:name="delivery-implementation-schedule"/>
    <w:p>
      <w:pPr>
        <w:pStyle w:val="Heading2"/>
      </w:pPr>
      <w:r>
        <w:t xml:space="preserve">4. Delivery &amp; Implementation Schedule</w:t>
      </w:r>
    </w:p>
    <w:p>
      <w:pPr>
        <w:pStyle w:val="FirstParagraph"/>
      </w:pPr>
      <w:r>
        <w:t xml:space="preserve">All services and materials referenced in this</w:t>
      </w:r>
      <w:r>
        <w:t xml:space="preserve"> </w:t>
      </w:r>
      <w:r>
        <w:t xml:space="preserve">Purchase Order</w:t>
      </w:r>
      <w:r>
        <w:t xml:space="preserve"> </w:t>
      </w:r>
      <w:r>
        <w:t xml:space="preserve">shall be delivered and made operational no later than</w:t>
      </w:r>
      <w:r>
        <w:t xml:space="preserve"> </w:t>
      </w:r>
      <w:r>
        <w:rPr>
          <w:bCs/>
          <w:b/>
        </w:rPr>
        <w:t xml:space="preserve">1 September 2025</w:t>
      </w:r>
      <w:r>
        <w:t xml:space="preserve">, coinciding with the commencement of the academic year in</w:t>
      </w:r>
      <w:r>
        <w:t xml:space="preserve"> </w:t>
      </w:r>
      <w:r>
        <w:t xml:space="preserve">Saudi Arabia Riyadh</w:t>
      </w:r>
      <w:r>
        <w:t xml:space="preserve">. The</w:t>
      </w:r>
      <w:r>
        <w:t xml:space="preserve"> </w:t>
      </w:r>
      <w:r>
        <w:t xml:space="preserve">Teacher Secondary</w:t>
      </w:r>
      <w:r>
        <w:t xml:space="preserve"> </w:t>
      </w:r>
      <w:r>
        <w:t xml:space="preserve">recruitment and onboarding process must be completed by</w:t>
      </w:r>
      <w:r>
        <w:t xml:space="preserve"> </w:t>
      </w:r>
      <w:r>
        <w:rPr>
          <w:bCs/>
          <w:b/>
        </w:rPr>
        <w:t xml:space="preserve">15 August 2025</w:t>
      </w:r>
      <w:r>
        <w:t xml:space="preserve"> </w:t>
      </w:r>
      <w:r>
        <w:t xml:space="preserve">to allow adequate orientation time. Training workshops shall be conducted at the Riyadh Education Training Center, Al Malqa District, and at designated secondary school campuses across the city. Digital platform licenses must be activated and accessible to all</w:t>
      </w:r>
      <w:r>
        <w:t xml:space="preserve"> </w:t>
      </w:r>
      <w:r>
        <w:t xml:space="preserve">Teacher Secondary</w:t>
      </w:r>
      <w:r>
        <w:t xml:space="preserve"> </w:t>
      </w:r>
      <w:r>
        <w:t xml:space="preserve">personnel by</w:t>
      </w:r>
      <w:r>
        <w:t xml:space="preserve"> </w:t>
      </w:r>
      <w:r>
        <w:rPr>
          <w:bCs/>
          <w:b/>
        </w:rPr>
        <w:t xml:space="preserve">25 August 2025</w:t>
      </w:r>
      <w:r>
        <w:t xml:space="preserve">.</w:t>
      </w:r>
    </w:p>
    <w:bookmarkEnd w:id="24"/>
    <w:bookmarkStart w:id="25"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to the supplier's designated account in Saudi Arabia (IBAN to be confirmed in writing).</w:t>
      </w:r>
    </w:p>
    <w:p>
      <w:pPr>
        <w:numPr>
          <w:ilvl w:val="0"/>
          <w:numId w:val="1001"/>
        </w:numPr>
        <w:pStyle w:val="Compact"/>
      </w:pPr>
      <w:r>
        <w:rPr>
          <w:bCs/>
          <w:b/>
        </w:rPr>
        <w:t xml:space="preserve">Payment Schedule:</w:t>
      </w:r>
      <w:r>
        <w:t xml:space="preserve"> </w:t>
      </w:r>
      <w:r>
        <w:t xml:space="preserve">30% advance upon signing of this</w:t>
      </w:r>
      <w:r>
        <w:t xml:space="preserve"> </w:t>
      </w:r>
      <w:r>
        <w:t xml:space="preserve">Purchase Order</w:t>
      </w:r>
      <w:r>
        <w:t xml:space="preserve">; 40% upon completion of recruitment and onboarding of all</w:t>
      </w:r>
      <w:r>
        <w:t xml:space="preserve"> </w:t>
      </w:r>
      <w:r>
        <w:t xml:space="preserve">Teacher Secondary</w:t>
      </w:r>
      <w:r>
        <w:t xml:space="preserve"> </w:t>
      </w:r>
      <w:r>
        <w:t xml:space="preserve">positions; 30% upon final acceptance and sign-off of all deliverables by the Riyadh Regional Education Director.</w:t>
      </w:r>
    </w:p>
    <w:p>
      <w:pPr>
        <w:numPr>
          <w:ilvl w:val="0"/>
          <w:numId w:val="1001"/>
        </w:numPr>
        <w:pStyle w:val="Compact"/>
      </w:pPr>
      <w:r>
        <w:rPr>
          <w:bCs/>
          <w:b/>
        </w:rPr>
        <w:t xml:space="preserve">Payment Window:</w:t>
      </w:r>
      <w:r>
        <w:t xml:space="preserve"> </w:t>
      </w:r>
      <w:r>
        <w:t xml:space="preserve">Net 30 days from receipt of a valid invoice and verified delivery confirmation.</w:t>
      </w:r>
    </w:p>
    <w:p>
      <w:pPr>
        <w:numPr>
          <w:ilvl w:val="0"/>
          <w:numId w:val="1001"/>
        </w:numPr>
        <w:pStyle w:val="Compact"/>
      </w:pPr>
      <w:r>
        <w:rPr>
          <w:bCs/>
          <w:b/>
        </w:rPr>
        <w:t xml:space="preserve">Currency:</w:t>
      </w:r>
      <w:r>
        <w:t xml:space="preserve"> </w:t>
      </w:r>
      <w:r>
        <w:t xml:space="preserve">All amounts are denominated in Saudi Riyals (SAR). No foreign currency payments shall be processed.</w:t>
      </w:r>
    </w:p>
    <w:p>
      <w:pPr>
        <w:numPr>
          <w:ilvl w:val="0"/>
          <w:numId w:val="1001"/>
        </w:numPr>
        <w:pStyle w:val="Compact"/>
      </w:pPr>
      <w:r>
        <w:rPr>
          <w:bCs/>
          <w:b/>
        </w:rPr>
        <w:t xml:space="preserve">Withholding:</w:t>
      </w:r>
      <w:r>
        <w:t xml:space="preserve"> </w:t>
      </w:r>
      <w:r>
        <w:t xml:space="preserve">The buyer reserves the right to withhold up to 10% of any installment pending satisfactory resolution of quality concerns related to</w:t>
      </w:r>
      <w:r>
        <w:t xml:space="preserve"> </w:t>
      </w:r>
      <w:r>
        <w:t xml:space="preserve">Teacher Secondary</w:t>
      </w:r>
      <w:r>
        <w:t xml:space="preserve"> </w:t>
      </w:r>
      <w:r>
        <w:t xml:space="preserve">service delivery.</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Saudi Arabia and the Saudi Civil Transactions Law. Any disputes shall be resolved through the competent courts in</w:t>
      </w:r>
      <w:r>
        <w:t xml:space="preserve"> </w:t>
      </w:r>
      <w:r>
        <w:t xml:space="preserve">Saudi Arabia Riyadh</w:t>
      </w:r>
      <w:r>
        <w:t xml:space="preserve">.</w:t>
      </w:r>
    </w:p>
    <w:p>
      <w:pPr>
        <w:numPr>
          <w:ilvl w:val="0"/>
          <w:numId w:val="1002"/>
        </w:numPr>
        <w:pStyle w:val="Compact"/>
      </w:pPr>
      <w:r>
        <w:t xml:space="preserve">The supplier warrants that all</w:t>
      </w:r>
      <w:r>
        <w:t xml:space="preserve"> </w:t>
      </w:r>
      <w:r>
        <w:t xml:space="preserve">Teacher Secondary</w:t>
      </w:r>
      <w:r>
        <w:t xml:space="preserve"> </w:t>
      </w:r>
      <w:r>
        <w:t xml:space="preserve">candidates recruited under this order hold valid academic qualifications (minimum Bachelor's degree in the relevant subject) and possess the required teaching licenses recognized by the Saudi Ministry of Education.</w:t>
      </w:r>
    </w:p>
    <w:p>
      <w:pPr>
        <w:numPr>
          <w:ilvl w:val="0"/>
          <w:numId w:val="1002"/>
        </w:numPr>
        <w:pStyle w:val="Compact"/>
      </w:pPr>
      <w:r>
        <w:t xml:space="preserve">All</w:t>
      </w:r>
      <w:r>
        <w:t xml:space="preserve"> </w:t>
      </w:r>
      <w:r>
        <w:t xml:space="preserve">Teacher Secondary</w:t>
      </w:r>
      <w:r>
        <w:t xml:space="preserve"> </w:t>
      </w:r>
      <w:r>
        <w:t xml:space="preserve">personnel engaged under this contract must comply with Saudi labor laws, cultural norms, and the Ministry of Education code of conduct. Expatriate staff must obtain valid work permits and Iqama before commencing duties in</w:t>
      </w:r>
      <w:r>
        <w:t xml:space="preserve"> </w:t>
      </w:r>
      <w:r>
        <w:t xml:space="preserve">Saudi Arabia Riyadh</w:t>
      </w:r>
      <w:r>
        <w:t xml:space="preserve">.</w:t>
      </w:r>
    </w:p>
    <w:p>
      <w:pPr>
        <w:numPr>
          <w:ilvl w:val="0"/>
          <w:numId w:val="1002"/>
        </w:numPr>
        <w:pStyle w:val="Compact"/>
      </w:pPr>
      <w:r>
        <w:t xml:space="preserve">The supplier shall maintain full confidentiality regarding student data, staff records, and institutional information in accordance with the Saudi Data Protection Authority (SDPA) regulations.</w:t>
      </w:r>
    </w:p>
    <w:p>
      <w:pPr>
        <w:numPr>
          <w:ilvl w:val="0"/>
          <w:numId w:val="1002"/>
        </w:numPr>
        <w:pStyle w:val="Compact"/>
      </w:pPr>
      <w:r>
        <w:t xml:space="preserve">Any modification to the scope, quantity, or timeline of this</w:t>
      </w:r>
      <w:r>
        <w:t xml:space="preserve"> </w:t>
      </w:r>
      <w:r>
        <w:t xml:space="preserve">Purchase Order</w:t>
      </w:r>
      <w:r>
        <w:t xml:space="preserve"> </w:t>
      </w:r>
      <w:r>
        <w:t xml:space="preserve">must be documented in a written amendment signed by both parties. Verbal agreements are not binding.</w:t>
      </w:r>
    </w:p>
    <w:p>
      <w:pPr>
        <w:numPr>
          <w:ilvl w:val="0"/>
          <w:numId w:val="1002"/>
        </w:numPr>
        <w:pStyle w:val="Compact"/>
      </w:pPr>
      <w:r>
        <w:t xml:space="preserve">The supplier shall provide a comprehensive project management plan within 10 business days of this</w:t>
      </w:r>
      <w:r>
        <w:t xml:space="preserve"> </w:t>
      </w:r>
      <w:r>
        <w:t xml:space="preserve">Purchase Order</w:t>
      </w:r>
      <w:r>
        <w:t xml:space="preserve"> </w:t>
      </w:r>
      <w:r>
        <w:t xml:space="preserve">being accepted, detailing milestones, responsible parties, and reporting cadence for the</w:t>
      </w:r>
      <w:r>
        <w:t xml:space="preserve"> </w:t>
      </w:r>
      <w:r>
        <w:t xml:space="preserve">Teacher Secondary</w:t>
      </w:r>
      <w:r>
        <w:t xml:space="preserve"> </w:t>
      </w:r>
      <w:r>
        <w:t xml:space="preserve">program.</w:t>
      </w:r>
    </w:p>
    <w:p>
      <w:pPr>
        <w:numPr>
          <w:ilvl w:val="0"/>
          <w:numId w:val="1002"/>
        </w:numPr>
        <w:pStyle w:val="Compact"/>
      </w:pPr>
      <w:r>
        <w:t xml:space="preserve">Force majeure events, including but not limited to government-mandated closures in</w:t>
      </w:r>
      <w:r>
        <w:t xml:space="preserve"> </w:t>
      </w:r>
      <w:r>
        <w:t xml:space="preserve">Saudi Arabia Riyadh</w:t>
      </w:r>
      <w:r>
        <w:t xml:space="preserve">, shall extend delivery deadlines proportionally without penalty to either party.</w:t>
      </w:r>
    </w:p>
    <w:p>
      <w:pPr>
        <w:numPr>
          <w:ilvl w:val="0"/>
          <w:numId w:val="1002"/>
        </w:numPr>
        <w:pStyle w:val="Compact"/>
      </w:pPr>
      <w:r>
        <w:t xml:space="preserve">The supplier shall carry professional indemnity insurance with a minimum coverage of SAR 5,000,000 for the duration of this engagement.</w:t>
      </w:r>
    </w:p>
    <w:bookmarkEnd w:id="26"/>
    <w:bookmarkStart w:id="27" w:name="acceptance-authorization"/>
    <w:p>
      <w:pPr>
        <w:pStyle w:val="Heading2"/>
      </w:pPr>
      <w:r>
        <w:t xml:space="preserve">7. Acceptance &amp; Authorization</w:t>
      </w:r>
    </w:p>
    <w:p>
      <w:pPr>
        <w:pStyle w:val="FirstParagraph"/>
      </w:pPr>
      <w:r>
        <w:t xml:space="preserve">This</w:t>
      </w:r>
      <w:r>
        <w:t xml:space="preserve"> </w:t>
      </w:r>
      <w:r>
        <w:t xml:space="preserve">Purchase Order</w:t>
      </w:r>
      <w:r>
        <w:t xml:space="preserve"> </w:t>
      </w:r>
      <w:r>
        <w:t xml:space="preserve">becomes effective upon countersignature by both parties. The supplier's acceptance constitutes full agreement to all terms, conditions, and specifications outlined herein for the</w:t>
      </w:r>
      <w:r>
        <w:t xml:space="preserve"> </w:t>
      </w:r>
      <w:r>
        <w:t xml:space="preserve">Teacher Secondary</w:t>
      </w:r>
      <w:r>
        <w:t xml:space="preserve"> </w:t>
      </w:r>
      <w:r>
        <w:t xml:space="preserve">program in</w:t>
      </w:r>
      <w:r>
        <w:t xml:space="preserve"> </w:t>
      </w:r>
      <w:r>
        <w:t xml:space="preserve">Saudi Arabia Riyadh</w:t>
      </w:r>
      <w:r>
        <w:t xml:space="preserve">.</w:t>
      </w:r>
    </w:p>
    <w:bookmarkEnd w:id="27"/>
    <w:p>
      <w:pPr>
        <w:pStyle w:val="BodyText"/>
      </w:pPr>
      <w:r>
        <w:rPr>
          <w:bCs/>
          <w:b/>
        </w:rPr>
        <w:t xml:space="preserve">Authorized Signatory – Buyer</w:t>
      </w:r>
      <w:r>
        <w:br/>
      </w:r>
      <w:r>
        <w:t xml:space="preserve">Eng. Khalid Al-Rashid</w:t>
      </w:r>
      <w:r>
        <w:br/>
      </w:r>
      <w:r>
        <w:t xml:space="preserve">Director, Secondary Education Procurement</w:t>
      </w:r>
      <w:r>
        <w:br/>
      </w:r>
      <w:r>
        <w:t xml:space="preserve">Ministry of Education – Riyadh Region</w:t>
      </w:r>
      <w:r>
        <w:br/>
      </w:r>
      <w:r>
        <w:t xml:space="preserve">Date: _______________</w:t>
      </w:r>
    </w:p>
    <w:p>
      <w:pPr>
        <w:pStyle w:val="BodyText"/>
      </w:pPr>
      <w:r>
        <w:rPr>
          <w:bCs/>
          <w:b/>
        </w:rPr>
        <w:t xml:space="preserve">Authorized Signatory – Supplier</w:t>
      </w:r>
      <w:r>
        <w:br/>
      </w:r>
      <w:r>
        <w:t xml:space="preserve">Ms. Sarah Al-Otaibi</w:t>
      </w:r>
      <w:r>
        <w:br/>
      </w:r>
      <w:r>
        <w:t xml:space="preserve">Procurement Manager</w:t>
      </w:r>
      <w:r>
        <w:br/>
      </w:r>
      <w:r>
        <w:t xml:space="preserve">EduTalent Middle East FZE – Riyadh Branch</w:t>
      </w:r>
      <w:r>
        <w:br/>
      </w:r>
      <w:r>
        <w:t xml:space="preserve">Date: _______________</w:t>
      </w:r>
    </w:p>
    <w:p>
      <w:pPr>
        <w:pStyle w:val="BodyText"/>
      </w:pPr>
      <w:r>
        <w:t xml:space="preserve">This Purchase Order (PO-SE-2025-04872) was issued by the Regional Directorate of Education, Saudi Arabia Riyadh, for the Teacher Secondary program. Document reference: MOEDU/RYD/TSEC/2025/04872. For inquiries, contact the Procurement Office at +966 11 456 7890 or procurement.ryd@moedu.sa.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Saudi Arabia Riyadh</dc:title>
  <dc:creator/>
  <dc:language>en</dc:language>
  <cp:keywords/>
  <dcterms:created xsi:type="dcterms:W3CDTF">2026-10-10T04:33:17Z</dcterms:created>
  <dcterms:modified xsi:type="dcterms:W3CDTF">2026-10-10T04:33:17Z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