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w:t>
      </w:r>
      <w:r>
        <w:t xml:space="preserve"> </w:t>
      </w:r>
      <w:r>
        <w:t xml:space="preserve">Senegal</w:t>
      </w:r>
      <w:r>
        <w:t xml:space="preserve"> </w:t>
      </w:r>
      <w:r>
        <w:t xml:space="preserve">Dakar</w:t>
      </w:r>
    </w:p>
    <w:bookmarkStart w:id="20" w:name="purchase-order"/>
    <w:p>
      <w:pPr>
        <w:pStyle w:val="Heading1"/>
      </w:pPr>
      <w:r>
        <w:t xml:space="preserve">Purchase Order</w:t>
      </w:r>
    </w:p>
    <w:p>
      <w:pPr>
        <w:pStyle w:val="FirstParagraph"/>
      </w:pPr>
      <w:r>
        <w:t xml:space="preserve">Teacher Secondary Educational Procurement</w:t>
      </w:r>
    </w:p>
    <w:p>
      <w:pPr>
        <w:pStyle w:val="BodyText"/>
      </w:pPr>
      <w:r>
        <w:t xml:space="preserve">Republic of Senegal — Dakar Region — Ministry of National Education</w:t>
      </w:r>
    </w:p>
    <w:bookmarkEnd w:id="20"/>
    <w:p>
      <w:pPr>
        <w:pStyle w:val="BodyText"/>
      </w:pPr>
      <w:r>
        <w:rPr>
          <w:bCs/>
          <w:b/>
        </w:rPr>
        <w:t xml:space="preserve">Purchase Order No.:</w:t>
      </w:r>
      <w:r>
        <w:t xml:space="preserve"> </w:t>
      </w:r>
      <w:r>
        <w:t xml:space="preserve">PO-SEN-DKR-2025-04782</w:t>
      </w:r>
    </w:p>
    <w:p>
      <w:pPr>
        <w:pStyle w:val="BodyText"/>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August 2025</w:t>
      </w:r>
    </w:p>
    <w:p>
      <w:pPr>
        <w:pStyle w:val="BodyText"/>
      </w:pPr>
      <w:r>
        <w:rPr>
          <w:bCs/>
          <w:b/>
        </w:rPr>
        <w:t xml:space="preserve">Payment Terms:</w:t>
      </w:r>
      <w:r>
        <w:t xml:space="preserve"> </w:t>
      </w:r>
      <w:r>
        <w:t xml:space="preserve">Net 45 Days</w:t>
      </w:r>
    </w:p>
    <w:p>
      <w:pPr>
        <w:pStyle w:val="BodyText"/>
      </w:pPr>
      <w:r>
        <w:t xml:space="preserve">1. Purchasing Authority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Entity:</w:t>
            </w:r>
            <w:r>
              <w:t xml:space="preserve"> </w:t>
            </w:r>
            <w:r>
              <w:t xml:space="preserve">Direction Régionale de l'Éducation et de la Formation (DREF) — Dakar</w:t>
            </w:r>
          </w:p>
        </w:tc>
        <w:tc>
          <w:tcPr/>
          <w:p>
            <w:pPr>
              <w:pStyle w:val="Compact"/>
              <w:jc w:val="left"/>
            </w:pPr>
            <w:r>
              <w:rPr>
                <w:bCs/>
                <w:b/>
              </w:rPr>
              <w:t xml:space="preserve">Address:</w:t>
            </w:r>
            <w:r>
              <w:t xml:space="preserve"> </w:t>
            </w:r>
            <w:r>
              <w:t xml:space="preserve">Boulevard du 23 Juin, Plateau, Dakar, Senegal</w:t>
            </w:r>
          </w:p>
        </w:tc>
      </w:tr>
      <w:tr>
        <w:tc>
          <w:tcPr/>
          <w:p>
            <w:pPr>
              <w:pStyle w:val="Compact"/>
              <w:jc w:val="left"/>
            </w:pPr>
            <w:r>
              <w:rPr>
                <w:bCs/>
                <w:b/>
              </w:rPr>
              <w:t xml:space="preserve">Contact Person:</w:t>
            </w:r>
            <w:r>
              <w:t xml:space="preserve"> </w:t>
            </w:r>
            <w:r>
              <w:t xml:space="preserve">M. Ousmane Diop, Regional Education Director</w:t>
            </w:r>
          </w:p>
        </w:tc>
        <w:tc>
          <w:tcPr/>
          <w:p>
            <w:pPr>
              <w:pStyle w:val="Compact"/>
              <w:jc w:val="left"/>
            </w:pPr>
            <w:r>
              <w:rPr>
                <w:bCs/>
                <w:b/>
              </w:rPr>
              <w:t xml:space="preserve">Telephone:</w:t>
            </w:r>
            <w:r>
              <w:t xml:space="preserve"> </w:t>
            </w:r>
            <w:r>
              <w:t xml:space="preserve">+221 33 864 21 00</w:t>
            </w:r>
          </w:p>
        </w:tc>
      </w:tr>
      <w:tr>
        <w:tc>
          <w:tcPr/>
          <w:p>
            <w:pPr>
              <w:pStyle w:val="Compact"/>
              <w:jc w:val="left"/>
            </w:pPr>
            <w:r>
              <w:rPr>
                <w:bCs/>
                <w:b/>
              </w:rPr>
              <w:t xml:space="preserve">Email:</w:t>
            </w:r>
            <w:r>
              <w:t xml:space="preserve"> </w:t>
            </w:r>
            <w:r>
              <w:t xml:space="preserve">dref.dakar@education.sn</w:t>
            </w:r>
          </w:p>
        </w:tc>
        <w:tc>
          <w:tcPr/>
          <w:p>
            <w:pPr>
              <w:pStyle w:val="Compact"/>
              <w:jc w:val="left"/>
            </w:pPr>
            <w:r>
              <w:rPr>
                <w:bCs/>
                <w:b/>
              </w:rPr>
              <w:t xml:space="preserve">Tax ID (NINEA):</w:t>
            </w:r>
            <w:r>
              <w:t xml:space="preserve"> </w:t>
            </w:r>
            <w:r>
              <w:t xml:space="preserve">003847215DKR</w:t>
            </w:r>
          </w:p>
        </w:tc>
      </w:tr>
    </w:tbl>
    <w:p>
      <w:pPr>
        <w:pStyle w:val="BodyText"/>
      </w:pPr>
      <w:r>
        <w:t xml:space="preserve">2. Supplier (Vendor)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ÉducaSupply Afrique SARL</w:t>
            </w:r>
          </w:p>
        </w:tc>
        <w:tc>
          <w:tcPr/>
          <w:p>
            <w:pPr>
              <w:pStyle w:val="Compact"/>
              <w:jc w:val="left"/>
            </w:pPr>
            <w:r>
              <w:rPr>
                <w:bCs/>
                <w:b/>
              </w:rPr>
              <w:t xml:space="preserve">Address:</w:t>
            </w:r>
            <w:r>
              <w:t xml:space="preserve"> </w:t>
            </w:r>
            <w:r>
              <w:t xml:space="preserve">Lot 12, Zone Industrielle de Ngor, Dakar, Senegal</w:t>
            </w:r>
          </w:p>
        </w:tc>
      </w:tr>
      <w:tr>
        <w:tc>
          <w:tcPr/>
          <w:p>
            <w:pPr>
              <w:pStyle w:val="Compact"/>
              <w:jc w:val="left"/>
            </w:pPr>
            <w:r>
              <w:rPr>
                <w:bCs/>
                <w:b/>
              </w:rPr>
              <w:t xml:space="preserve">Contact Person:</w:t>
            </w:r>
            <w:r>
              <w:t xml:space="preserve"> </w:t>
            </w:r>
            <w:r>
              <w:t xml:space="preserve">Mme. Awa Ndiaye, Sales Director</w:t>
            </w:r>
          </w:p>
        </w:tc>
        <w:tc>
          <w:tcPr/>
          <w:p>
            <w:pPr>
              <w:pStyle w:val="Compact"/>
              <w:jc w:val="left"/>
            </w:pPr>
            <w:r>
              <w:rPr>
                <w:bCs/>
                <w:b/>
              </w:rPr>
              <w:t xml:space="preserve">Telephone:</w:t>
            </w:r>
            <w:r>
              <w:t xml:space="preserve"> </w:t>
            </w:r>
            <w:r>
              <w:t xml:space="preserve">+221 33 870 55 42</w:t>
            </w:r>
          </w:p>
        </w:tc>
      </w:tr>
      <w:tr>
        <w:tc>
          <w:tcPr/>
          <w:p>
            <w:pPr>
              <w:pStyle w:val="Compact"/>
              <w:jc w:val="left"/>
            </w:pPr>
            <w:r>
              <w:rPr>
                <w:bCs/>
                <w:b/>
              </w:rPr>
              <w:t xml:space="preserve">Email:</w:t>
            </w:r>
            <w:r>
              <w:t xml:space="preserve"> </w:t>
            </w:r>
            <w:r>
              <w:t xml:space="preserve">sales@educasupply.sn</w:t>
            </w:r>
          </w:p>
        </w:tc>
        <w:tc>
          <w:tcPr/>
          <w:p>
            <w:pPr>
              <w:pStyle w:val="Compact"/>
              <w:jc w:val="left"/>
            </w:pPr>
            <w:r>
              <w:rPr>
                <w:bCs/>
                <w:b/>
              </w:rPr>
              <w:t xml:space="preserve">RC (Registre de Commerce):</w:t>
            </w:r>
            <w:r>
              <w:t xml:space="preserve"> </w:t>
            </w:r>
            <w:r>
              <w:t xml:space="preserve">DAK-2019-B-04521</w:t>
            </w:r>
          </w:p>
        </w:tc>
      </w:tr>
    </w:tbl>
    <w:p>
      <w:pPr>
        <w:pStyle w:val="BodyText"/>
      </w:pPr>
      <w:r>
        <w:t xml:space="preserve">3. Scope of Procurement — Teacher Secondary Program</w:t>
      </w:r>
    </w:p>
    <w:p>
      <w:pPr>
        <w:pStyle w:val="BodyText"/>
      </w:pPr>
      <w:r>
        <w:t xml:space="preserve">This Purchase Order is issued in support of the</w:t>
      </w:r>
      <w:r>
        <w:t xml:space="preserve"> </w:t>
      </w:r>
      <w:r>
        <w:rPr>
          <w:bCs/>
          <w:b/>
        </w:rPr>
        <w:t xml:space="preserve">Teacher Secondary</w:t>
      </w:r>
      <w:r>
        <w:t xml:space="preserve"> </w:t>
      </w:r>
      <w:r>
        <w:t xml:space="preserve">capacity-building and classroom-resource program administered by the Senegalese Ministry of National Education for the 2025–2026 academic year. The items and services listed below are specifically designated for</w:t>
      </w:r>
      <w:r>
        <w:t xml:space="preserve"> </w:t>
      </w:r>
      <w:r>
        <w:rPr>
          <w:bCs/>
          <w:b/>
        </w:rPr>
        <w:t xml:space="preserve">Teacher Secondary</w:t>
      </w:r>
      <w:r>
        <w:t xml:space="preserve"> </w:t>
      </w:r>
      <w:r>
        <w:t xml:space="preserve">personnel (collège and lycée level educators) operating across the Dakar region, including the departments of Dakar, Rufisque, and Pikine. All materials must comply with the national curriculum standards established by the Direction de l'Enseignement Secondaire Général (DESG) and must be suitable for use in public and private secondary schools within the Dakar metropolitan area.</w:t>
      </w:r>
    </w:p>
    <w:p>
      <w:pPr>
        <w:pStyle w:val="BodyText"/>
      </w:pPr>
      <w:r>
        <w:t xml:space="preserve">4. 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(XOF)</w:t>
            </w:r>
          </w:p>
        </w:tc>
        <w:tc>
          <w:tcPr/>
          <w:p>
            <w:pPr>
              <w:pStyle w:val="Compact"/>
              <w:jc w:val="left"/>
            </w:pPr>
            <w:r>
              <w:t xml:space="preserve">Total (XOF)</w:t>
            </w:r>
          </w:p>
        </w:tc>
        <w:tc>
          <w:tcPr/>
          <w:p>
            <w:pPr>
              <w:pStyle w:val="Compact"/>
              <w:jc w:val="left"/>
            </w:pPr>
            <w:r>
              <w:t xml:space="preserve">Delivery Location</w:t>
            </w:r>
          </w:p>
        </w:tc>
      </w:tr>
      <w:tr>
        <w:tc>
          <w:tcPr/>
          <w:p>
            <w:pPr>
              <w:pStyle w:val="Compact"/>
              <w:jc w:val="left"/>
            </w:pPr>
            <w:r>
              <w:t xml:space="preserve">01</w:t>
            </w:r>
          </w:p>
        </w:tc>
        <w:tc>
          <w:tcPr/>
          <w:p>
            <w:pPr>
              <w:pStyle w:val="Compact"/>
              <w:jc w:val="left"/>
            </w:pPr>
            <w:r>
              <w:t xml:space="preserve">Secondary Teacher Pedagogical Handbook (French/English bilingual), 2025 edition — Teacher Secondary curriculum guide for Sciences, Lettres, and Technique tracks</w:t>
            </w:r>
          </w:p>
        </w:tc>
        <w:tc>
          <w:tcPr/>
          <w:p>
            <w:pPr>
              <w:pStyle w:val="Compact"/>
              <w:jc w:val="left"/>
            </w:pPr>
            <w:r>
              <w:t xml:space="preserve">1,200</w:t>
            </w:r>
          </w:p>
        </w:tc>
        <w:tc>
          <w:tcPr/>
          <w:p>
            <w:pPr>
              <w:pStyle w:val="Compact"/>
              <w:jc w:val="left"/>
            </w:pPr>
            <w:r>
              <w:t xml:space="preserve">18,500</w:t>
            </w:r>
          </w:p>
        </w:tc>
        <w:tc>
          <w:tcPr/>
          <w:p>
            <w:pPr>
              <w:pStyle w:val="Compact"/>
              <w:jc w:val="left"/>
            </w:pPr>
            <w:r>
              <w:t xml:space="preserve">22,200,000</w:t>
            </w:r>
          </w:p>
        </w:tc>
        <w:tc>
          <w:tcPr/>
          <w:p>
            <w:pPr>
              <w:pStyle w:val="Compact"/>
              <w:jc w:val="left"/>
            </w:pPr>
            <w:r>
              <w:t xml:space="preserve">Dakar Central — DREF Warehouse, Plateau</w:t>
            </w:r>
          </w:p>
        </w:tc>
      </w:tr>
      <w:tr>
        <w:tc>
          <w:tcPr/>
          <w:p>
            <w:pPr>
              <w:pStyle w:val="Compact"/>
              <w:jc w:val="left"/>
            </w:pPr>
            <w:r>
              <w:t xml:space="preserve">02</w:t>
            </w:r>
          </w:p>
        </w:tc>
        <w:tc>
          <w:tcPr/>
          <w:p>
            <w:pPr>
              <w:pStyle w:val="Compact"/>
              <w:jc w:val="left"/>
            </w:pPr>
            <w:r>
              <w:t xml:space="preserve">Interactive Whiteboard (86-inch) with Teacher Secondary lesson-management software pre-installed, for secondary classroom deployment</w:t>
            </w:r>
          </w:p>
        </w:tc>
        <w:tc>
          <w:tcPr/>
          <w:p>
            <w:pPr>
              <w:pStyle w:val="Compact"/>
              <w:jc w:val="left"/>
            </w:pPr>
            <w:r>
              <w:t xml:space="preserve">85</w:t>
            </w:r>
          </w:p>
        </w:tc>
        <w:tc>
          <w:tcPr/>
          <w:p>
            <w:pPr>
              <w:pStyle w:val="Compact"/>
              <w:jc w:val="left"/>
            </w:pPr>
            <w:r>
              <w:t xml:space="preserve">1,450,000</w:t>
            </w:r>
          </w:p>
        </w:tc>
        <w:tc>
          <w:tcPr/>
          <w:p>
            <w:pPr>
              <w:pStyle w:val="Compact"/>
              <w:jc w:val="left"/>
            </w:pPr>
            <w:r>
              <w:t xml:space="preserve">123,250,000</w:t>
            </w:r>
          </w:p>
        </w:tc>
        <w:tc>
          <w:tcPr/>
          <w:p>
            <w:pPr>
              <w:pStyle w:val="Compact"/>
              <w:jc w:val="left"/>
            </w:pPr>
            <w:r>
              <w:t xml:space="preserve">Various Lycées, Dakar &amp; Rufisque</w:t>
            </w:r>
          </w:p>
        </w:tc>
      </w:tr>
      <w:tr>
        <w:tc>
          <w:tcPr/>
          <w:p>
            <w:pPr>
              <w:pStyle w:val="Compact"/>
              <w:jc w:val="left"/>
            </w:pPr>
            <w:r>
              <w:t xml:space="preserve">03</w:t>
            </w:r>
          </w:p>
        </w:tc>
        <w:tc>
          <w:tcPr/>
          <w:p>
            <w:pPr>
              <w:pStyle w:val="Compact"/>
              <w:jc w:val="left"/>
            </w:pPr>
            <w:r>
              <w:t xml:space="preserve">Teacher Secondary Professional Development Training Package (5-day in-service workshop on differentiated instruction for secondary students), including facilitator fees, materials, and certification</w:t>
            </w:r>
          </w:p>
        </w:tc>
        <w:tc>
          <w:tcPr/>
          <w:p>
            <w:pPr>
              <w:pStyle w:val="Compact"/>
              <w:jc w:val="left"/>
            </w:pPr>
            <w:r>
              <w:t xml:space="preserve">320</w:t>
            </w:r>
          </w:p>
        </w:tc>
        <w:tc>
          <w:tcPr/>
          <w:p>
            <w:pPr>
              <w:pStyle w:val="Compact"/>
              <w:jc w:val="left"/>
            </w:pPr>
            <w:r>
              <w:t xml:space="preserve">95,000</w:t>
            </w:r>
          </w:p>
        </w:tc>
        <w:tc>
          <w:tcPr/>
          <w:p>
            <w:pPr>
              <w:pStyle w:val="Compact"/>
              <w:jc w:val="left"/>
            </w:pPr>
            <w:r>
              <w:t xml:space="preserve">30,400,000</w:t>
            </w:r>
          </w:p>
        </w:tc>
        <w:tc>
          <w:tcPr/>
          <w:p>
            <w:pPr>
              <w:pStyle w:val="Compact"/>
              <w:jc w:val="left"/>
            </w:pPr>
            <w:r>
              <w:t xml:space="preserve">IFAN Training Centre, Dakar</w:t>
            </w:r>
          </w:p>
        </w:tc>
      </w:tr>
      <w:tr>
        <w:tc>
          <w:tcPr/>
          <w:p>
            <w:pPr>
              <w:pStyle w:val="Compact"/>
              <w:jc w:val="left"/>
            </w:pPr>
            <w:r>
              <w:t xml:space="preserve">04</w:t>
            </w:r>
          </w:p>
        </w:tc>
        <w:tc>
          <w:tcPr/>
          <w:p>
            <w:pPr>
              <w:pStyle w:val="Compact"/>
              <w:jc w:val="left"/>
            </w:pPr>
            <w:r>
              <w:t xml:space="preserve">Secondary Science Laboratory Kit (Physics &amp; Chemistry) for Teacher Secondary demonstration use, CE-certified, with bilingual safety manuals</w:t>
            </w:r>
          </w:p>
        </w:tc>
        <w:tc>
          <w:tcPr/>
          <w:p>
            <w:pPr>
              <w:pStyle w:val="Compact"/>
              <w:jc w:val="left"/>
            </w:pPr>
            <w:r>
              <w:t xml:space="preserve">150</w:t>
            </w:r>
          </w:p>
        </w:tc>
        <w:tc>
          <w:tcPr/>
          <w:p>
            <w:pPr>
              <w:pStyle w:val="Compact"/>
              <w:jc w:val="left"/>
            </w:pPr>
            <w:r>
              <w:t xml:space="preserve">320,000</w:t>
            </w:r>
          </w:p>
        </w:tc>
        <w:tc>
          <w:tcPr/>
          <w:p>
            <w:pPr>
              <w:pStyle w:val="Compact"/>
              <w:jc w:val="left"/>
            </w:pPr>
            <w:r>
              <w:t xml:space="preserve">48,000,000</w:t>
            </w:r>
          </w:p>
        </w:tc>
        <w:tc>
          <w:tcPr/>
          <w:p>
            <w:pPr>
              <w:pStyle w:val="Compact"/>
              <w:jc w:val="left"/>
            </w:pPr>
            <w:r>
              <w:t xml:space="preserve">Collèges, Dakar &amp; Pikine</w:t>
            </w:r>
          </w:p>
        </w:tc>
      </w:tr>
      <w:tr>
        <w:tc>
          <w:tcPr/>
          <w:p>
            <w:pPr>
              <w:pStyle w:val="Compact"/>
              <w:jc w:val="left"/>
            </w:pPr>
            <w:r>
              <w:t xml:space="preserve">05</w:t>
            </w:r>
          </w:p>
        </w:tc>
        <w:tc>
          <w:tcPr/>
          <w:p>
            <w:pPr>
              <w:pStyle w:val="Compact"/>
              <w:jc w:val="left"/>
            </w:pPr>
            <w:r>
              <w:t xml:space="preserve">Ergonomic Teacher Desk and Chair Set (secondary classroom specification, height-adjustable), for Teacher Secondary staff workstations</w:t>
            </w:r>
          </w:p>
        </w:tc>
        <w:tc>
          <w:tcPr/>
          <w:p>
            <w:pPr>
              <w:pStyle w:val="Compact"/>
              <w:jc w:val="left"/>
            </w:pPr>
            <w:r>
              <w:t xml:space="preserve">400</w:t>
            </w:r>
          </w:p>
        </w:tc>
        <w:tc>
          <w:tcPr/>
          <w:p>
            <w:pPr>
              <w:pStyle w:val="Compact"/>
              <w:jc w:val="left"/>
            </w:pPr>
            <w:r>
              <w:t xml:space="preserve">185,000</w:t>
            </w:r>
          </w:p>
        </w:tc>
        <w:tc>
          <w:tcPr/>
          <w:p>
            <w:pPr>
              <w:pStyle w:val="Compact"/>
              <w:jc w:val="left"/>
            </w:pPr>
            <w:r>
              <w:t xml:space="preserve">74,000,000</w:t>
            </w:r>
          </w:p>
        </w:tc>
        <w:tc>
          <w:tcPr/>
          <w:p>
            <w:pPr>
              <w:pStyle w:val="Compact"/>
              <w:jc w:val="left"/>
            </w:pPr>
            <w:r>
              <w:t xml:space="preserve">Secondary Schools, Dakar Region</w:t>
            </w:r>
          </w:p>
        </w:tc>
      </w:tr>
      <w:tr>
        <w:tc>
          <w:tcPr/>
          <w:p>
            <w:pPr>
              <w:pStyle w:val="Compact"/>
              <w:jc w:val="left"/>
            </w:pPr>
            <w:r>
              <w:t xml:space="preserve">06</w:t>
            </w:r>
          </w:p>
        </w:tc>
        <w:tc>
          <w:tcPr/>
          <w:p>
            <w:pPr>
              <w:pStyle w:val="Compact"/>
              <w:jc w:val="left"/>
            </w:pPr>
            <w:r>
              <w:t xml:space="preserve">Digital Teacher Secondary Resource Portal License (3-year subscription), providing access to lesson plans, assessment tools, and peer-mentoring forums for secondary educators in Senegal</w:t>
            </w:r>
          </w:p>
        </w:tc>
        <w:tc>
          <w:tcPr/>
          <w:p>
            <w:pPr>
              <w:pStyle w:val="Compact"/>
              <w:jc w:val="left"/>
            </w:pPr>
            <w:r>
              <w:t xml:space="preserve">1</w:t>
            </w:r>
          </w:p>
        </w:tc>
        <w:tc>
          <w:tcPr/>
          <w:p>
            <w:pPr>
              <w:pStyle w:val="Compact"/>
              <w:jc w:val="left"/>
            </w:pPr>
            <w:r>
              <w:t xml:space="preserve">25,000,000</w:t>
            </w:r>
          </w:p>
        </w:tc>
        <w:tc>
          <w:tcPr/>
          <w:p>
            <w:pPr>
              <w:pStyle w:val="Compact"/>
              <w:jc w:val="left"/>
            </w:pPr>
            <w:r>
              <w:t xml:space="preserve">25,000,000</w:t>
            </w:r>
          </w:p>
        </w:tc>
        <w:tc>
          <w:tcPr/>
          <w:p>
            <w:pPr>
              <w:pStyle w:val="Compact"/>
              <w:jc w:val="left"/>
            </w:pPr>
            <w:r>
              <w:t xml:space="preserve">Digital — DREF Dakar HQ</w:t>
            </w:r>
          </w:p>
        </w:tc>
      </w:tr>
      <w:tr>
        <w:tc>
          <w:tcPr/>
          <w:p>
            <w:pPr>
              <w:pStyle w:val="Compact"/>
              <w:jc w:val="left"/>
            </w:pPr>
            <w:r>
              <w:t xml:space="preserve">07</w:t>
            </w:r>
          </w:p>
        </w:tc>
        <w:tc>
          <w:tcPr/>
          <w:p>
            <w:pPr>
              <w:pStyle w:val="Compact"/>
              <w:jc w:val="left"/>
            </w:pPr>
            <w:r>
              <w:t xml:space="preserve">Teacher Secondary Assessment &amp; Evaluation Toolkit (standardized test papers, grading rubrics, and student portfolio templates aligned to Senegalese Baccalaureat and BEPC standards)</w:t>
            </w:r>
          </w:p>
        </w:tc>
        <w:tc>
          <w:tcPr/>
          <w:p>
            <w:pPr>
              <w:pStyle w:val="Compact"/>
              <w:jc w:val="left"/>
            </w:pPr>
            <w:r>
              <w:t xml:space="preserve">2,000</w:t>
            </w:r>
          </w:p>
        </w:tc>
        <w:tc>
          <w:tcPr/>
          <w:p>
            <w:pPr>
              <w:pStyle w:val="Compact"/>
              <w:jc w:val="left"/>
            </w:pPr>
            <w:r>
              <w:t xml:space="preserve">12,000</w:t>
            </w:r>
          </w:p>
        </w:tc>
        <w:tc>
          <w:tcPr/>
          <w:p>
            <w:pPr>
              <w:pStyle w:val="Compact"/>
              <w:jc w:val="left"/>
            </w:pPr>
            <w:r>
              <w:t xml:space="preserve">24,000,000</w:t>
            </w:r>
          </w:p>
        </w:tc>
        <w:tc>
          <w:tcPr/>
          <w:p>
            <w:pPr>
              <w:pStyle w:val="Compact"/>
              <w:jc w:val="left"/>
            </w:pPr>
            <w:r>
              <w:t xml:space="preserve">Dakar Central — DREF Warehouse</w:t>
            </w:r>
          </w:p>
        </w:tc>
      </w:tr>
      <w:tr>
        <w:tc>
          <w:tcPr/>
          <w:p>
            <w:pPr>
              <w:pStyle w:val="Compact"/>
              <w:jc w:val="left"/>
            </w:pPr>
            <w:r>
              <w:t xml:space="preserve">08</w:t>
            </w:r>
          </w:p>
        </w:tc>
        <w:tc>
          <w:tcPr/>
          <w:p>
            <w:pPr>
              <w:pStyle w:val="Compact"/>
              <w:jc w:val="left"/>
            </w:pPr>
            <w:r>
              <w:t xml:space="preserve">Portable Projector (3,500 lumens) with mounting kit for Teacher Secondary mobile classroom units in underserved Dakar neighborhoods</w:t>
            </w:r>
          </w:p>
        </w:tc>
        <w:tc>
          <w:tcPr/>
          <w:p>
            <w:pPr>
              <w:pStyle w:val="Compact"/>
              <w:jc w:val="left"/>
            </w:pPr>
            <w:r>
              <w:t xml:space="preserve">60</w:t>
            </w:r>
          </w:p>
        </w:tc>
        <w:tc>
          <w:tcPr/>
          <w:p>
            <w:pPr>
              <w:pStyle w:val="Compact"/>
              <w:jc w:val="left"/>
            </w:pPr>
            <w:r>
              <w:t xml:space="preserve">480,000</w:t>
            </w:r>
          </w:p>
        </w:tc>
        <w:tc>
          <w:tcPr/>
          <w:p>
            <w:pPr>
              <w:pStyle w:val="Compact"/>
              <w:jc w:val="left"/>
            </w:pPr>
            <w:r>
              <w:t xml:space="preserve">28,800,000</w:t>
            </w:r>
          </w:p>
        </w:tc>
        <w:tc>
          <w:tcPr/>
          <w:p>
            <w:pPr>
              <w:pStyle w:val="Compact"/>
              <w:jc w:val="left"/>
            </w:pPr>
            <w:r>
              <w:t xml:space="preserve">Mobile Units, Dakar &amp; Rufisque</w:t>
            </w:r>
          </w:p>
        </w:tc>
      </w:tr>
      <w:tr>
        <w:tc>
          <w:tcPr>
            <w:gridSpan w:val="4"/>
          </w:tcPr>
          <w:p>
            <w:pPr>
              <w:pStyle w:val="Compact"/>
              <w:jc w:val="right"/>
            </w:pPr>
            <w:r>
              <w:t xml:space="preserve">SUBTOTAL</w:t>
            </w:r>
          </w:p>
        </w:tc>
        <w:tc>
          <w:tcPr/>
          <w:p>
            <w:pPr>
              <w:pStyle w:val="Compact"/>
              <w:jc w:val="left"/>
            </w:pPr>
            <w:r>
              <w:t xml:space="preserve">375,650,000</w:t>
            </w:r>
          </w:p>
        </w:tc>
        <w:tc>
          <w:tcPr/>
          <w:p>
            <w:pPr>
              <w:pStyle w:val="Compact"/>
            </w:pPr>
          </w:p>
        </w:tc>
      </w:tr>
      <w:tr>
        <w:tc>
          <w:tcPr>
            <w:gridSpan w:val="4"/>
          </w:tcPr>
          <w:p>
            <w:pPr>
              <w:pStyle w:val="Compact"/>
              <w:jc w:val="right"/>
            </w:pPr>
            <w:r>
              <w:t xml:space="preserve">VAT (18% — Senegalese Tax Code)</w:t>
            </w:r>
          </w:p>
        </w:tc>
        <w:tc>
          <w:tcPr/>
          <w:p>
            <w:pPr>
              <w:pStyle w:val="Compact"/>
              <w:jc w:val="left"/>
            </w:pPr>
            <w:r>
              <w:t xml:space="preserve">67,617,000</w:t>
            </w:r>
          </w:p>
        </w:tc>
        <w:tc>
          <w:tcPr/>
          <w:p>
            <w:pPr>
              <w:pStyle w:val="Compact"/>
            </w:pPr>
          </w:p>
        </w:tc>
      </w:tr>
      <w:tr>
        <w:tc>
          <w:tcPr>
            <w:gridSpan w:val="4"/>
          </w:tcPr>
          <w:p>
            <w:pPr>
              <w:pStyle w:val="Compact"/>
              <w:jc w:val="right"/>
            </w:pPr>
            <w:r>
              <w:t xml:space="preserve">DELIVERY &amp; INSTALLATION (Dakar Region)</w:t>
            </w:r>
          </w:p>
        </w:tc>
        <w:tc>
          <w:tcPr/>
          <w:p>
            <w:pPr>
              <w:pStyle w:val="Compact"/>
              <w:jc w:val="left"/>
            </w:pPr>
            <w:r>
              <w:t xml:space="preserve">12,500,000</w:t>
            </w:r>
          </w:p>
        </w:tc>
        <w:tc>
          <w:tcPr/>
          <w:p>
            <w:pPr>
              <w:pStyle w:val="Compact"/>
            </w:pPr>
          </w:p>
        </w:tc>
      </w:tr>
      <w:tr>
        <w:tc>
          <w:tcPr>
            <w:gridSpan w:val="4"/>
          </w:tcPr>
          <w:p>
            <w:pPr>
              <w:pStyle w:val="Compact"/>
              <w:jc w:val="right"/>
            </w:pPr>
            <w:r>
              <w:t xml:space="preserve">GRAND TOTAL (XOF)</w:t>
            </w:r>
          </w:p>
        </w:tc>
        <w:tc>
          <w:tcPr/>
          <w:p>
            <w:pPr>
              <w:pStyle w:val="Compact"/>
              <w:jc w:val="left"/>
            </w:pPr>
            <w:r>
              <w:t xml:space="preserve">455,767,000</w:t>
            </w:r>
          </w:p>
        </w:tc>
        <w:tc>
          <w:tcPr/>
          <w:p>
            <w:pPr>
              <w:pStyle w:val="Compact"/>
            </w:pPr>
          </w:p>
        </w:tc>
      </w:tr>
    </w:tbl>
    <w:p>
      <w:pPr>
        <w:pStyle w:val="BodyText"/>
      </w:pPr>
      <w:r>
        <w:rPr>
          <w:bCs/>
          <w:b/>
        </w:rPr>
        <w:t xml:space="preserve">Note:</w:t>
      </w:r>
      <w:r>
        <w:t xml:space="preserve"> </w:t>
      </w:r>
      <w:r>
        <w:t xml:space="preserve">All monetary values are expressed in West African CFA Francs (XOF), the official currency of Senegal. Payment shall be processed through the Trésor Public du Sénégal in accordance with the Senegalese Public Procurement Code (Code des Marchés Publics, Décret n° 2013-1100). The Teacher Secondary program is funded under the PASEC (Programme d'Appui au Système d'Éducation et de la Formation) budget line allocated to the Dakar region for the 2025–2026 fiscal year.</w:t>
      </w:r>
    </w:p>
    <w:p>
      <w:pPr>
        <w:pStyle w:val="BodyText"/>
      </w:pPr>
      <w:r>
        <w:t xml:space="preserve">5. Terms and Conditions</w:t>
      </w:r>
    </w:p>
    <w:p>
      <w:pPr>
        <w:numPr>
          <w:ilvl w:val="0"/>
          <w:numId w:val="1001"/>
        </w:numPr>
        <w:pStyle w:val="Compact"/>
      </w:pPr>
      <w:r>
        <w:rPr>
          <w:bCs/>
          <w:b/>
        </w:rPr>
        <w:t xml:space="preserve">Compliance with Senegalese Law:</w:t>
      </w:r>
      <w:r>
        <w:t xml:space="preserve"> </w:t>
      </w:r>
      <w:r>
        <w:t xml:space="preserve">This Purchase Order is governed by the laws of the Republic of Senegal, including the Code des Marchés Publics and all applicable regulations of the Direction Générale des Marchés Publics. Any dispute arising from this Purchase Order shall be resolved by the competent courts of Dakar, Senegal.</w:t>
      </w:r>
    </w:p>
    <w:p>
      <w:pPr>
        <w:numPr>
          <w:ilvl w:val="0"/>
          <w:numId w:val="1001"/>
        </w:numPr>
        <w:pStyle w:val="Compact"/>
      </w:pPr>
      <w:r>
        <w:rPr>
          <w:bCs/>
          <w:b/>
        </w:rPr>
        <w:t xml:space="preserve">Teacher Secondary Standards:</w:t>
      </w:r>
      <w:r>
        <w:t xml:space="preserve"> </w:t>
      </w:r>
      <w:r>
        <w:t xml:space="preserve">All educational materials, software, and training content must be reviewed and approved by the DESG (Direction de l'Enseignement Secondaire Général) prior to delivery. Materials must be appropriate for the Teacher Secondary level (classes de 6ème through Terminale) and must align with the current Senegalese national curriculum for secondary education.</w:t>
      </w:r>
    </w:p>
    <w:p>
      <w:pPr>
        <w:numPr>
          <w:ilvl w:val="0"/>
          <w:numId w:val="1001"/>
        </w:numPr>
        <w:pStyle w:val="Compact"/>
      </w:pPr>
      <w:r>
        <w:rPr>
          <w:bCs/>
          <w:b/>
        </w:rPr>
        <w:t xml:space="preserve">Delivery in Dakar:</w:t>
      </w:r>
      <w:r>
        <w:t xml:space="preserve"> </w:t>
      </w:r>
      <w:r>
        <w:t xml:space="preserve">All physical goods shall be delivered to the designated locations within the Dakar region as specified in Section 4. The supplier is responsible for all transportation, insurance, and customs clearance (where applicable) within Senegal. Delivery must be completed no later than 30 August 2025, prior to the resumption of the 2025–2026 academic year in Senegal.</w:t>
      </w:r>
    </w:p>
    <w:p>
      <w:pPr>
        <w:numPr>
          <w:ilvl w:val="0"/>
          <w:numId w:val="1001"/>
        </w:numPr>
        <w:pStyle w:val="Compact"/>
      </w:pPr>
      <w:r>
        <w:rPr>
          <w:bCs/>
          <w:b/>
        </w:rPr>
        <w:t xml:space="preserve">Quality Assurance:</w:t>
      </w:r>
      <w:r>
        <w:t xml:space="preserve"> </w:t>
      </w:r>
      <w:r>
        <w:t xml:space="preserve">The supplier warrants that all items conform to the specifications outlined in this Purchase Order and to applicable Senegalese and West African (UEMOA) safety and quality standards. A 24-month warranty is required on all electronic equipment (Items 02, 06, and 08).</w:t>
      </w:r>
    </w:p>
    <w:p>
      <w:pPr>
        <w:numPr>
          <w:ilvl w:val="0"/>
          <w:numId w:val="1001"/>
        </w:numPr>
        <w:pStyle w:val="Compact"/>
      </w:pPr>
      <w:r>
        <w:rPr>
          <w:bCs/>
          <w:b/>
        </w:rPr>
        <w:t xml:space="preserve">Payment Schedule:</w:t>
      </w:r>
      <w:r>
        <w:t xml:space="preserve"> </w:t>
      </w:r>
      <w:r>
        <w:t xml:space="preserve">Payment shall be made in three installments: 30% upon signing of this Purchase Order, 50% upon verified delivery and acceptance of goods in Dakar, and 20% upon successful completion of the Teacher Secondary training program (Item 03) and final acceptance. Payment will be issued by the Trésor Public du Sénégal within 45 days of invoice validation.</w:t>
      </w:r>
    </w:p>
    <w:p>
      <w:pPr>
        <w:numPr>
          <w:ilvl w:val="0"/>
          <w:numId w:val="1001"/>
        </w:numPr>
        <w:pStyle w:val="Compact"/>
      </w:pPr>
      <w:r>
        <w:rPr>
          <w:bCs/>
          <w:b/>
        </w:rPr>
        <w:t xml:space="preserve">Language of Instruction:</w:t>
      </w:r>
      <w:r>
        <w:t xml:space="preserve"> </w:t>
      </w:r>
      <w:r>
        <w:t xml:space="preserve">All Teacher Secondary materials must be provided in French as the primary language, with English as a secondary language where indicated. Training sessions (Item 03) shall be conducted in French with English-language supplementary materials available.</w:t>
      </w:r>
    </w:p>
    <w:p>
      <w:pPr>
        <w:numPr>
          <w:ilvl w:val="0"/>
          <w:numId w:val="1001"/>
        </w:numPr>
        <w:pStyle w:val="Compact"/>
      </w:pPr>
      <w:r>
        <w:rPr>
          <w:bCs/>
          <w:b/>
        </w:rPr>
        <w:t xml:space="preserve">Intellectual Property:</w:t>
      </w:r>
      <w:r>
        <w:t xml:space="preserve"> </w:t>
      </w:r>
      <w:r>
        <w:t xml:space="preserve">All custom-developed content created specifically for the Teacher Secondary program in Senegal Dakar shall remain the property of the Senegalese Ministry of National Education. The supplier grants a perpetual, non-exclusive license for use in all public secondary schools in Senegal.</w:t>
      </w:r>
    </w:p>
    <w:p>
      <w:pPr>
        <w:numPr>
          <w:ilvl w:val="0"/>
          <w:numId w:val="1001"/>
        </w:numPr>
        <w:pStyle w:val="Compact"/>
      </w:pPr>
      <w:r>
        <w:rPr>
          <w:bCs/>
          <w:b/>
        </w:rPr>
        <w:t xml:space="preserve">Penalties for Late Delivery:</w:t>
      </w:r>
      <w:r>
        <w:t xml:space="preserve"> </w:t>
      </w:r>
      <w:r>
        <w:t xml:space="preserve">In the event of delayed delivery beyond the 30 August 2025 deadline, the supplier shall incur a penalty of 0.5% of the total Purchase Order value per calendar day of delay, up to a maximum of 10%. Delays exceeding 30 days entitle the DREF Dakar to terminate this Purchase Order without penalty.</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civil unrest, or government-mandated closures, as defined under Senegalese commercial law.</w:t>
      </w:r>
    </w:p>
    <w:p>
      <w:pPr>
        <w:numPr>
          <w:ilvl w:val="0"/>
          <w:numId w:val="1001"/>
        </w:numPr>
        <w:pStyle w:val="Compact"/>
      </w:pPr>
      <w:r>
        <w:rPr>
          <w:bCs/>
          <w:b/>
        </w:rPr>
        <w:t xml:space="preserve">Confidentiality:</w:t>
      </w:r>
      <w:r>
        <w:t xml:space="preserve"> </w:t>
      </w:r>
      <w:r>
        <w:t xml:space="preserve">Both parties agree to maintain the confidentiality of all proprietary information exchanged in connection with this Purchase Order, in accordance with Senegalese data protection regulations.</w:t>
      </w:r>
    </w:p>
    <w:p>
      <w:pPr>
        <w:pStyle w:val="FirstParagraph"/>
      </w:pPr>
      <w:r>
        <w:t xml:space="preserve">6. Acceptance and Authorization</w:t>
      </w:r>
    </w:p>
    <w:p>
      <w:pPr>
        <w:pStyle w:val="BodyText"/>
      </w:pPr>
      <w:r>
        <w:t xml:space="preserve">This Purchase Order for the Teacher Secondary program in Senegal Dakar is hereby authorized and approved by the undersigned. By signing below, the supplier acknowledges receipt of this Purchase Order and agrees to fulfill all obligations, deliverables, and quality standards as specified herein for the benefit of secondary-level teachers and students across the Dakar region.</w:t>
      </w:r>
    </w:p>
    <w:p>
      <w:pPr>
        <w:pStyle w:val="BodyText"/>
      </w:pPr>
      <w:r>
        <w:rPr>
          <w:bCs/>
          <w:b/>
        </w:rPr>
        <w:t xml:space="preserve">For the Purchasing Authority (DREF Dakar):</w:t>
      </w:r>
    </w:p>
    <w:p>
      <w:pPr>
        <w:pStyle w:val="BodyText"/>
      </w:pPr>
      <w:r>
        <w:t xml:space="preserve">M. Ousmane Diop</w:t>
      </w:r>
      <w:r>
        <w:br/>
      </w:r>
      <w:r>
        <w:t xml:space="preserve">Regional Education Director</w:t>
      </w:r>
      <w:r>
        <w:br/>
      </w:r>
      <w:r>
        <w:t xml:space="preserve">DREF — Dakar, Senegal</w:t>
      </w:r>
      <w:r>
        <w:br/>
      </w:r>
      <w:r>
        <w:t xml:space="preserve">Date: _______________</w:t>
      </w:r>
    </w:p>
    <w:p>
      <w:pPr>
        <w:pStyle w:val="BodyText"/>
      </w:pPr>
      <w:r>
        <w:rPr>
          <w:bCs/>
          <w:b/>
        </w:rPr>
        <w:t xml:space="preserve">For the Supplier (ÉducaSupply Afrique SARL):</w:t>
      </w:r>
    </w:p>
    <w:p>
      <w:pPr>
        <w:pStyle w:val="BodyText"/>
      </w:pPr>
      <w:r>
        <w:t xml:space="preserve">Mme. Awa Ndiaye</w:t>
      </w:r>
      <w:r>
        <w:br/>
      </w:r>
      <w:r>
        <w:t xml:space="preserve">Sales Director</w:t>
      </w:r>
      <w:r>
        <w:br/>
      </w:r>
      <w:r>
        <w:t xml:space="preserve">ÉducaSupply Afrique SARL</w:t>
      </w:r>
      <w:r>
        <w:br/>
      </w:r>
      <w:r>
        <w:t xml:space="preserve">Dakar, Senegal</w:t>
      </w:r>
      <w:r>
        <w:br/>
      </w:r>
      <w:r>
        <w:t xml:space="preserve">Date: _______________</w:t>
      </w:r>
    </w:p>
    <w:p>
      <w:pPr>
        <w:pStyle w:val="BodyText"/>
      </w:pPr>
      <w:r>
        <w:t xml:space="preserve">Purchase Order No. PO-SEN-DKR-2025-04782 — Teacher Secondary Program — Dakar, Senegal</w:t>
      </w:r>
    </w:p>
    <w:p>
      <w:pPr>
        <w:pStyle w:val="BodyText"/>
      </w:pPr>
      <w:r>
        <w:t xml:space="preserve">Issued by the Direction Régionale de l'Education et de la Formation (DREF) — Dakar</w:t>
      </w:r>
    </w:p>
    <w:p>
      <w:pPr>
        <w:pStyle w:val="BodyText"/>
      </w:pPr>
      <w:r>
        <w:t xml:space="preserve">Republic of Senegal — Ministry of National Education — 2025–2026 Academic Year</w:t>
      </w:r>
    </w:p>
    <w:p>
      <w:pPr>
        <w:pStyle w:val="BodyText"/>
      </w:pPr>
      <w:r>
        <w:t xml:space="preserve">This document is valid only when bearing the official seal and signature of the DREF Dakar. Unauthorized reproduction is prohibited under Senegalese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 Senegal Dakar</dc:title>
  <dc:creator/>
  <dc:language>en</dc:language>
  <cp:keywords/>
  <dcterms:created xsi:type="dcterms:W3CDTF">2026-10-10T07:31:11Z</dcterms:created>
  <dcterms:modified xsi:type="dcterms:W3CDTF">2026-10-10T07:31:11Z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