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Program</w:t>
      </w:r>
      <w:r>
        <w:t xml:space="preserve"> </w:t>
      </w:r>
      <w:r>
        <w:t xml:space="preserve">-</w:t>
      </w:r>
      <w:r>
        <w:t xml:space="preserve"> </w:t>
      </w:r>
      <w:r>
        <w:t xml:space="preserve">Turkey</w:t>
      </w:r>
      <w:r>
        <w:t xml:space="preserve"> </w:t>
      </w:r>
      <w:r>
        <w:t xml:space="preserve">Ankara</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Teacher Secondary Education Program — Republic of Turkey, Ankara Province</w:t>
      </w:r>
    </w:p>
    <w:bookmarkEnd w:id="20"/>
    <w:p>
      <w:pPr>
        <w:pStyle w:val="BodyText"/>
      </w:pPr>
      <w:r>
        <w:rPr>
          <w:bCs/>
          <w:b/>
        </w:rPr>
        <w:t xml:space="preserve">Purchase Order No.:</w:t>
      </w:r>
      <w:r>
        <w:t xml:space="preserve"> </w:t>
      </w:r>
      <w:r>
        <w:t xml:space="preserve">TR-ANK-2025-04782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45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Ministry of National Education — Ankara Provincial Directorate</w:t>
            </w:r>
          </w:p>
        </w:tc>
        <w:tc>
          <w:tcPr/>
          <w:p>
            <w:pPr>
              <w:pStyle w:val="Compact"/>
              <w:jc w:val="left"/>
            </w:pPr>
            <w:r>
              <w:rPr>
                <w:bCs/>
                <w:b/>
              </w:rPr>
              <w:t xml:space="preserve">Department:</w:t>
            </w:r>
            <w:r>
              <w:t xml:space="preserve"> </w:t>
            </w:r>
            <w:r>
              <w:t xml:space="preserve">Teacher Secondary Education &amp; Professional Development Division</w:t>
            </w:r>
          </w:p>
        </w:tc>
      </w:tr>
      <w:tr>
        <w:tc>
          <w:tcPr/>
          <w:p>
            <w:pPr>
              <w:pStyle w:val="Compact"/>
              <w:jc w:val="left"/>
            </w:pPr>
            <w:r>
              <w:rPr>
                <w:bCs/>
                <w:b/>
              </w:rPr>
              <w:t xml:space="preserve">Address:</w:t>
            </w:r>
            <w:r>
              <w:t xml:space="preserve"> </w:t>
            </w:r>
            <w:r>
              <w:t xml:space="preserve">Kızılay Mahallesi, Atatürk Bulvarı No. 12, 06040 Çankaya, Ankara, Turkey</w:t>
            </w:r>
          </w:p>
        </w:tc>
        <w:tc>
          <w:tcPr/>
          <w:p>
            <w:pPr>
              <w:pStyle w:val="Compact"/>
              <w:jc w:val="left"/>
            </w:pPr>
            <w:r>
              <w:rPr>
                <w:bCs/>
                <w:b/>
              </w:rPr>
              <w:t xml:space="preserve">Contact Person:</w:t>
            </w:r>
            <w:r>
              <w:t xml:space="preserve"> </w:t>
            </w:r>
            <w:r>
              <w:t xml:space="preserve">Dr. Elif Kaya, Director of Teacher Secondary Programs</w:t>
            </w:r>
          </w:p>
        </w:tc>
      </w:tr>
      <w:tr>
        <w:tc>
          <w:tcPr/>
          <w:p>
            <w:pPr>
              <w:pStyle w:val="Compact"/>
              <w:jc w:val="left"/>
            </w:pPr>
            <w:r>
              <w:rPr>
                <w:bCs/>
                <w:b/>
              </w:rPr>
              <w:t xml:space="preserve">Phone:</w:t>
            </w:r>
            <w:r>
              <w:t xml:space="preserve"> </w:t>
            </w:r>
            <w:r>
              <w:t xml:space="preserve">+90 (312) 419 12 34</w:t>
            </w:r>
          </w:p>
        </w:tc>
        <w:tc>
          <w:tcPr/>
          <w:p>
            <w:pPr>
              <w:pStyle w:val="Compact"/>
              <w:jc w:val="left"/>
            </w:pPr>
            <w:r>
              <w:rPr>
                <w:bCs/>
                <w:b/>
              </w:rPr>
              <w:t xml:space="preserve">Email:</w:t>
            </w:r>
            <w:r>
              <w:t xml:space="preserve"> </w:t>
            </w:r>
            <w:r>
              <w:t xml:space="preserve">teacher.secondary@meb.gov.tr</w:t>
            </w:r>
          </w:p>
        </w:tc>
      </w:tr>
      <w:tr>
        <w:tc>
          <w:tcPr/>
          <w:p>
            <w:pPr>
              <w:pStyle w:val="Compact"/>
              <w:jc w:val="left"/>
            </w:pPr>
            <w:r>
              <w:rPr>
                <w:bCs/>
                <w:b/>
              </w:rPr>
              <w:t xml:space="preserve">Tax ID (VKN):</w:t>
            </w:r>
            <w:r>
              <w:t xml:space="preserve"> </w:t>
            </w:r>
            <w:r>
              <w:t xml:space="preserve">0012345678</w:t>
            </w:r>
          </w:p>
        </w:tc>
        <w:tc>
          <w:tcPr/>
          <w:p>
            <w:pPr>
              <w:pStyle w:val="Compact"/>
              <w:jc w:val="left"/>
            </w:pPr>
            <w:r>
              <w:rPr>
                <w:bCs/>
                <w:b/>
              </w:rPr>
              <w:t xml:space="preserve">IBAN:</w:t>
            </w:r>
            <w:r>
              <w:t xml:space="preserve"> </w:t>
            </w:r>
            <w:r>
              <w:t xml:space="preserve">TR33 0006 4000 0011 2345 6789 01</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EduTech Ankara Ltd. (EduTech Ankara Limited Şirketi)</w:t>
            </w:r>
          </w:p>
        </w:tc>
        <w:tc>
          <w:tcPr/>
          <w:p>
            <w:pPr>
              <w:pStyle w:val="Compact"/>
              <w:jc w:val="left"/>
            </w:pPr>
            <w:r>
              <w:rPr>
                <w:bCs/>
                <w:b/>
              </w:rPr>
              <w:t xml:space="preserve">Supplier ID:</w:t>
            </w:r>
            <w:r>
              <w:t xml:space="preserve"> </w:t>
            </w:r>
            <w:r>
              <w:t xml:space="preserve">SUP-TR-2024-0091</w:t>
            </w:r>
          </w:p>
        </w:tc>
      </w:tr>
      <w:tr>
        <w:tc>
          <w:tcPr/>
          <w:p>
            <w:pPr>
              <w:pStyle w:val="Compact"/>
              <w:jc w:val="left"/>
            </w:pPr>
            <w:r>
              <w:rPr>
                <w:bCs/>
                <w:b/>
              </w:rPr>
              <w:t xml:space="preserve">Address:</w:t>
            </w:r>
            <w:r>
              <w:t xml:space="preserve"> </w:t>
            </w:r>
            <w:r>
              <w:t xml:space="preserve">Ostim Organized Industrial Zone, 21. Cadde No. 45, 06370 İvedik, Ankara, Turkey</w:t>
            </w:r>
          </w:p>
        </w:tc>
        <w:tc>
          <w:tcPr/>
          <w:p>
            <w:pPr>
              <w:pStyle w:val="Compact"/>
              <w:jc w:val="left"/>
            </w:pPr>
            <w:r>
              <w:rPr>
                <w:bCs/>
                <w:b/>
              </w:rPr>
              <w:t xml:space="preserve">Contact Person:</w:t>
            </w:r>
            <w:r>
              <w:t xml:space="preserve"> </w:t>
            </w:r>
            <w:r>
              <w:t xml:space="preserve">Mr. Mehmet Yılmaz, Sales Director</w:t>
            </w:r>
          </w:p>
        </w:tc>
      </w:tr>
      <w:tr>
        <w:tc>
          <w:tcPr/>
          <w:p>
            <w:pPr>
              <w:pStyle w:val="Compact"/>
              <w:jc w:val="left"/>
            </w:pPr>
            <w:r>
              <w:rPr>
                <w:bCs/>
                <w:b/>
              </w:rPr>
              <w:t xml:space="preserve">Phone:</w:t>
            </w:r>
            <w:r>
              <w:t xml:space="preserve"> </w:t>
            </w:r>
            <w:r>
              <w:t xml:space="preserve">+90 (312) 260 55 67</w:t>
            </w:r>
          </w:p>
        </w:tc>
        <w:tc>
          <w:tcPr/>
          <w:p>
            <w:pPr>
              <w:pStyle w:val="Compact"/>
              <w:jc w:val="left"/>
            </w:pPr>
            <w:r>
              <w:rPr>
                <w:bCs/>
                <w:b/>
              </w:rPr>
              <w:t xml:space="preserve">Email:</w:t>
            </w:r>
            <w:r>
              <w:t xml:space="preserve"> </w:t>
            </w:r>
            <w:r>
              <w:t xml:space="preserve">sales@edutechankara.com.tr</w:t>
            </w:r>
          </w:p>
        </w:tc>
      </w:tr>
      <w:tr>
        <w:tc>
          <w:tcPr/>
          <w:p>
            <w:pPr>
              <w:pStyle w:val="Compact"/>
              <w:jc w:val="left"/>
            </w:pPr>
            <w:r>
              <w:rPr>
                <w:bCs/>
                <w:b/>
              </w:rPr>
              <w:t xml:space="preserve">Tax ID (VKN):</w:t>
            </w:r>
            <w:r>
              <w:t xml:space="preserve"> </w:t>
            </w:r>
            <w:r>
              <w:t xml:space="preserve">1234567890</w:t>
            </w:r>
          </w:p>
        </w:tc>
        <w:tc>
          <w:tcPr/>
          <w:p>
            <w:pPr>
              <w:pStyle w:val="Compact"/>
              <w:jc w:val="left"/>
            </w:pPr>
            <w:r>
              <w:rPr>
                <w:bCs/>
                <w:b/>
              </w:rPr>
              <w:t xml:space="preserve">Chamber of Commerce:</w:t>
            </w:r>
            <w:r>
              <w:t xml:space="preserve"> </w:t>
            </w:r>
            <w:r>
              <w:t xml:space="preserve">Ankara Chamber of Commerce, Reg. No. 58231</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by the Ankara Provincial Directorate of the Ministry of National Education to procure specialized educational materials, digital infrastructure, and professional development resources exclusively for the</w:t>
      </w:r>
      <w:r>
        <w:t xml:space="preserve"> </w:t>
      </w:r>
      <w:r>
        <w:rPr>
          <w:bCs/>
          <w:b/>
        </w:rPr>
        <w:t xml:space="preserve">Teacher Secondary</w:t>
      </w:r>
      <w:r>
        <w:t xml:space="preserve"> </w:t>
      </w:r>
      <w:r>
        <w:t xml:space="preserve">program operating within the Ankara region of Turkey. The Teacher Secondary program is a government-mandated initiative designed to equip secondary school teachers (grades 9 through 12) in Ankara with updated pedagogical tools, curriculum-aligned resources, and continuous professional development opportunities. All items listed below are intended to support the 2025–2026 academic year and must comply with the standards set forth by the Turkish Ministry of National Education's Teacher Secondary framework guidelines.</w:t>
      </w:r>
    </w:p>
    <w:bookmarkEnd w:id="23"/>
    <w:bookmarkStart w:id="24" w:name="X7e011e708c7afae7b70ade6c6fa1d5bab477903"/>
    <w:p>
      <w:pPr>
        <w:pStyle w:val="Heading2"/>
      </w:pPr>
      <w:r>
        <w:t xml:space="preserve">4. Line Items — Teacher Secondary Program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Teacher Secondary Interactive Digital Whiteboards (86-inch, 4K) — for Ankara secondary school classrooms</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48,500.00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Teacher Secondary Curriculum Resource Kits (Mathematics, Science, Turkish Language, Social Studies) — 2025–2026 edition</w:t>
            </w:r>
          </w:p>
        </w:tc>
        <w:tc>
          <w:tcPr/>
          <w:p>
            <w:pPr>
              <w:pStyle w:val="Compact"/>
              <w:jc w:val="left"/>
            </w:pPr>
            <w:r>
              <w:t xml:space="preserve">3,400</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4,250,000.00</w:t>
            </w:r>
          </w:p>
        </w:tc>
      </w:tr>
      <w:tr>
        <w:tc>
          <w:tcPr/>
          <w:p>
            <w:pPr>
              <w:pStyle w:val="Compact"/>
              <w:jc w:val="left"/>
            </w:pPr>
            <w:r>
              <w:t xml:space="preserve">03</w:t>
            </w:r>
          </w:p>
        </w:tc>
        <w:tc>
          <w:tcPr/>
          <w:p>
            <w:pPr>
              <w:pStyle w:val="Compact"/>
              <w:jc w:val="left"/>
            </w:pPr>
            <w:r>
              <w:t xml:space="preserve">Teacher Secondary Professional Development LMS Platform License (annual subscription, 5,000 teacher accounts)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04</w:t>
            </w:r>
          </w:p>
        </w:tc>
        <w:tc>
          <w:tcPr/>
          <w:p>
            <w:pPr>
              <w:pStyle w:val="Compact"/>
              <w:jc w:val="left"/>
            </w:pPr>
            <w:r>
              <w:t xml:space="preserve">Teacher Secondary Assessment &amp; Evaluation Software Suite (standardized testing module for Ankara secondary schools)</w:t>
            </w:r>
          </w:p>
        </w:tc>
        <w:tc>
          <w:tcPr/>
          <w:p>
            <w:pPr>
              <w:pStyle w:val="Compact"/>
              <w:jc w:val="left"/>
            </w:pPr>
            <w:r>
              <w:t xml:space="preserve">85</w:t>
            </w:r>
          </w:p>
        </w:tc>
        <w:tc>
          <w:tcPr/>
          <w:p>
            <w:pPr>
              <w:pStyle w:val="Compact"/>
              <w:jc w:val="left"/>
            </w:pPr>
            <w:r>
              <w:t xml:space="preserve">licenses</w:t>
            </w:r>
          </w:p>
        </w:tc>
        <w:tc>
          <w:tcPr/>
          <w:p>
            <w:pPr>
              <w:pStyle w:val="Compact"/>
              <w:jc w:val="left"/>
            </w:pPr>
            <w:r>
              <w:t xml:space="preserve">18,750.00</w:t>
            </w:r>
          </w:p>
        </w:tc>
        <w:tc>
          <w:tcPr/>
          <w:p>
            <w:pPr>
              <w:pStyle w:val="Compact"/>
              <w:jc w:val="left"/>
            </w:pPr>
            <w:r>
              <w:t xml:space="preserve">1,593,750.00</w:t>
            </w:r>
          </w:p>
        </w:tc>
      </w:tr>
      <w:tr>
        <w:tc>
          <w:tcPr/>
          <w:p>
            <w:pPr>
              <w:pStyle w:val="Compact"/>
              <w:jc w:val="left"/>
            </w:pPr>
            <w:r>
              <w:t xml:space="preserve">05</w:t>
            </w:r>
          </w:p>
        </w:tc>
        <w:tc>
          <w:tcPr/>
          <w:p>
            <w:pPr>
              <w:pStyle w:val="Compact"/>
              <w:jc w:val="left"/>
            </w:pPr>
            <w:r>
              <w:t xml:space="preserve">Teacher Secondary Workshop Training Materials (print &amp; digital) — 12 modules per teacher</w:t>
            </w:r>
          </w:p>
        </w:tc>
        <w:tc>
          <w:tcPr/>
          <w:p>
            <w:pPr>
              <w:pStyle w:val="Compact"/>
              <w:jc w:val="left"/>
            </w:pPr>
            <w:r>
              <w:t xml:space="preserve">5,000</w:t>
            </w:r>
          </w:p>
        </w:tc>
        <w:tc>
          <w:tcPr/>
          <w:p>
            <w:pPr>
              <w:pStyle w:val="Compact"/>
              <w:jc w:val="left"/>
            </w:pPr>
            <w:r>
              <w:t xml:space="preserve">packages</w:t>
            </w:r>
          </w:p>
        </w:tc>
        <w:tc>
          <w:tcPr/>
          <w:p>
            <w:pPr>
              <w:pStyle w:val="Compact"/>
              <w:jc w:val="left"/>
            </w:pPr>
            <w:r>
              <w:t xml:space="preserve">890.00</w:t>
            </w:r>
          </w:p>
        </w:tc>
        <w:tc>
          <w:tcPr/>
          <w:p>
            <w:pPr>
              <w:pStyle w:val="Compact"/>
              <w:jc w:val="left"/>
            </w:pPr>
            <w:r>
              <w:t xml:space="preserve">4,450,000.00</w:t>
            </w:r>
          </w:p>
        </w:tc>
      </w:tr>
      <w:tr>
        <w:tc>
          <w:tcPr/>
          <w:p>
            <w:pPr>
              <w:pStyle w:val="Compact"/>
              <w:jc w:val="left"/>
            </w:pPr>
            <w:r>
              <w:t xml:space="preserve">06</w:t>
            </w:r>
          </w:p>
        </w:tc>
        <w:tc>
          <w:tcPr/>
          <w:p>
            <w:pPr>
              <w:pStyle w:val="Compact"/>
              <w:jc w:val="left"/>
            </w:pPr>
            <w:r>
              <w:t xml:space="preserve">Teacher Secondary Classroom Furniture (ergonomic desks, chairs, and storage units) — Ankara district schools</w:t>
            </w:r>
          </w:p>
        </w:tc>
        <w:tc>
          <w:tcPr/>
          <w:p>
            <w:pPr>
              <w:pStyle w:val="Compact"/>
              <w:jc w:val="left"/>
            </w:pPr>
            <w:r>
              <w:t xml:space="preserve">2,400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7,680,000.00</w:t>
            </w:r>
          </w:p>
        </w:tc>
      </w:tr>
      <w:tr>
        <w:tc>
          <w:tcPr/>
          <w:p>
            <w:pPr>
              <w:pStyle w:val="Compact"/>
              <w:jc w:val="left"/>
            </w:pPr>
            <w:r>
              <w:t xml:space="preserve">07</w:t>
            </w:r>
          </w:p>
        </w:tc>
        <w:tc>
          <w:tcPr/>
          <w:p>
            <w:pPr>
              <w:pStyle w:val="Compact"/>
              <w:jc w:val="left"/>
            </w:pPr>
            <w:r>
              <w:t xml:space="preserve">Teacher Secondary Laboratory Equipment (physics, chemistry, biology) — for Ankara secondary school labs</w:t>
            </w:r>
          </w:p>
        </w:tc>
        <w:tc>
          <w:tcPr/>
          <w:p>
            <w:pPr>
              <w:pStyle w:val="Compact"/>
              <w:jc w:val="left"/>
            </w:pPr>
            <w:r>
              <w:t xml:space="preserve">85</w:t>
            </w:r>
          </w:p>
        </w:tc>
        <w:tc>
          <w:tcPr/>
          <w:p>
            <w:pPr>
              <w:pStyle w:val="Compact"/>
              <w:jc w:val="left"/>
            </w:pPr>
            <w:r>
              <w:t xml:space="preserve">lab kits</w:t>
            </w:r>
          </w:p>
        </w:tc>
        <w:tc>
          <w:tcPr/>
          <w:p>
            <w:pPr>
              <w:pStyle w:val="Compact"/>
              <w:jc w:val="left"/>
            </w:pPr>
            <w:r>
              <w:t xml:space="preserve">95,000.00</w:t>
            </w:r>
          </w:p>
        </w:tc>
        <w:tc>
          <w:tcPr/>
          <w:p>
            <w:pPr>
              <w:pStyle w:val="Compact"/>
              <w:jc w:val="left"/>
            </w:pPr>
            <w:r>
              <w:t xml:space="preserve">8,075,000.00</w:t>
            </w:r>
          </w:p>
        </w:tc>
      </w:tr>
      <w:tr>
        <w:tc>
          <w:tcPr/>
          <w:p>
            <w:pPr>
              <w:pStyle w:val="Compact"/>
              <w:jc w:val="left"/>
            </w:pPr>
            <w:r>
              <w:t xml:space="preserve">08</w:t>
            </w:r>
          </w:p>
        </w:tc>
        <w:tc>
          <w:tcPr/>
          <w:p>
            <w:pPr>
              <w:pStyle w:val="Compact"/>
              <w:jc w:val="left"/>
            </w:pPr>
            <w:r>
              <w:t xml:space="preserve">Teacher Secondary Library Books &amp; Reference Materials (Turkish, English, and STEM titles)</w:t>
            </w:r>
          </w:p>
        </w:tc>
        <w:tc>
          <w:tcPr/>
          <w:p>
            <w:pPr>
              <w:pStyle w:val="Compact"/>
              <w:jc w:val="left"/>
            </w:pPr>
            <w:r>
              <w:t xml:space="preserve">15,000</w:t>
            </w:r>
          </w:p>
        </w:tc>
        <w:tc>
          <w:tcPr/>
          <w:p>
            <w:pPr>
              <w:pStyle w:val="Compact"/>
              <w:jc w:val="left"/>
            </w:pPr>
            <w:r>
              <w:t xml:space="preserve">titles</w:t>
            </w:r>
          </w:p>
        </w:tc>
        <w:tc>
          <w:tcPr/>
          <w:p>
            <w:pPr>
              <w:pStyle w:val="Compact"/>
              <w:jc w:val="left"/>
            </w:pPr>
            <w:r>
              <w:t xml:space="preserve">320.00</w:t>
            </w:r>
          </w:p>
        </w:tc>
        <w:tc>
          <w:tcPr/>
          <w:p>
            <w:pPr>
              <w:pStyle w:val="Compact"/>
              <w:jc w:val="left"/>
            </w:pPr>
            <w:r>
              <w:t xml:space="preserve">4,800,000.00</w:t>
            </w:r>
          </w:p>
        </w:tc>
      </w:tr>
      <w:tr>
        <w:tc>
          <w:tcPr>
            <w:gridSpan w:val="5"/>
          </w:tcPr>
          <w:p>
            <w:pPr>
              <w:pStyle w:val="Compact"/>
              <w:jc w:val="left"/>
            </w:pPr>
            <w:r>
              <w:t xml:space="preserve">SUBTOTAL</w:t>
            </w:r>
          </w:p>
        </w:tc>
        <w:tc>
          <w:tcPr/>
          <w:p>
            <w:pPr>
              <w:pStyle w:val="Compact"/>
              <w:jc w:val="left"/>
            </w:pPr>
            <w:r>
              <w:t xml:space="preserve">39,468,750.00</w:t>
            </w:r>
          </w:p>
        </w:tc>
      </w:tr>
      <w:tr>
        <w:tc>
          <w:tcPr>
            <w:gridSpan w:val="5"/>
          </w:tcPr>
          <w:p>
            <w:pPr>
              <w:pStyle w:val="Compact"/>
              <w:jc w:val="left"/>
            </w:pPr>
            <w:r>
              <w:t xml:space="preserve">VAT (KDV) — 20%</w:t>
            </w:r>
          </w:p>
        </w:tc>
        <w:tc>
          <w:tcPr/>
          <w:p>
            <w:pPr>
              <w:pStyle w:val="Compact"/>
              <w:jc w:val="left"/>
            </w:pPr>
            <w:r>
              <w:t xml:space="preserve">7,893,750.00</w:t>
            </w:r>
          </w:p>
        </w:tc>
      </w:tr>
      <w:tr>
        <w:tc>
          <w:tcPr>
            <w:gridSpan w:val="5"/>
          </w:tcPr>
          <w:p>
            <w:pPr>
              <w:pStyle w:val="Compact"/>
              <w:jc w:val="left"/>
            </w:pPr>
            <w:r>
              <w:t xml:space="preserve">GRAND TOTAL (TRY)</w:t>
            </w:r>
          </w:p>
        </w:tc>
        <w:tc>
          <w:tcPr/>
          <w:p>
            <w:pPr>
              <w:pStyle w:val="Compact"/>
              <w:jc w:val="left"/>
            </w:pPr>
            <w:r>
              <w:t xml:space="preserve">47,362,500.00</w:t>
            </w:r>
          </w:p>
        </w:tc>
      </w:tr>
    </w:tbl>
    <w:bookmarkEnd w:id="24"/>
    <w:bookmarkStart w:id="25" w:name="delivery-and-installation-requirements"/>
    <w:p>
      <w:pPr>
        <w:pStyle w:val="Heading2"/>
      </w:pPr>
      <w:r>
        <w:t xml:space="preserve">5. Delivery and Installation Requirements</w:t>
      </w:r>
    </w:p>
    <w:p>
      <w:pPr>
        <w:pStyle w:val="FirstParagraph"/>
      </w:pPr>
      <w:r>
        <w:t xml:space="preserve">All goods specified in this Purchase Order must be delivered to the designated Ankara Provincial Directorate warehouse located at Kızılay Mahallesi, Atatürk Bulvarı No. 12, Çankaya, Ankara, Turkey, no later than</w:t>
      </w:r>
      <w:r>
        <w:t xml:space="preserve"> </w:t>
      </w:r>
      <w:r>
        <w:rPr>
          <w:bCs/>
          <w:b/>
        </w:rPr>
        <w:t xml:space="preserve">30 August 2025</w:t>
      </w:r>
      <w:r>
        <w:t xml:space="preserve">. The supplier, EduTech Ankara Ltd., is responsible for all transportation, insurance, and installation costs within the Ankara metropolitan area. Digital whiteboards, laboratory equipment, and classroom furniture must be installed and tested at each of the 85 secondary schools in Ankara prior to the commencement of the 2025–2026 academic year. The Teacher Secondary program coordinator assigned to each school district in Ankara will conduct a final acceptance inspection within five (5) business days of installation completion.</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Republic of Turkey and the Public Procurement Law (Law No. 4734) as applicable to educational institutions in Ankara.</w:t>
      </w:r>
    </w:p>
    <w:p>
      <w:pPr>
        <w:numPr>
          <w:ilvl w:val="0"/>
          <w:numId w:val="1001"/>
        </w:numPr>
        <w:pStyle w:val="Compact"/>
      </w:pPr>
      <w:r>
        <w:t xml:space="preserve">Payment shall be made within forty-five (45) calendar days from the date of invoice acceptance, provided all Teacher Secondary program deliverables have been verified and accepted by the Ankara Provincial Directorate.</w:t>
      </w:r>
    </w:p>
    <w:p>
      <w:pPr>
        <w:numPr>
          <w:ilvl w:val="0"/>
          <w:numId w:val="1001"/>
        </w:numPr>
        <w:pStyle w:val="Compact"/>
      </w:pPr>
      <w:r>
        <w:t xml:space="preserve">The supplier warrants that all Teacher Secondary materials, equipment, and software are new, free from defects, and fully compliant with the Turkish Standards Institution (TSE) regulations and the Ministry of National Education's Teacher Secondary quality framework.</w:t>
      </w:r>
    </w:p>
    <w:p>
      <w:pPr>
        <w:numPr>
          <w:ilvl w:val="0"/>
          <w:numId w:val="1001"/>
        </w:numPr>
        <w:pStyle w:val="Compact"/>
      </w:pPr>
      <w:r>
        <w:t xml:space="preserve">A warranty period of no less than three (3) years applies to all hardware items (whiteboards, furniture, laboratory equipment) and twelve (12) months for software licenses, commencing from the date of final acceptance in Ankara.</w:t>
      </w:r>
    </w:p>
    <w:p>
      <w:pPr>
        <w:numPr>
          <w:ilvl w:val="0"/>
          <w:numId w:val="1001"/>
        </w:numPr>
        <w:pStyle w:val="Compact"/>
      </w:pPr>
      <w:r>
        <w:t xml:space="preserve">Any delay in delivery beyond the stipulated date of 30 August 2025 shall incur a penalty of 0.05% of the total Purchase Order value per calendar day of delay, up to a maximum of 10% of the total value.</w:t>
      </w:r>
    </w:p>
    <w:p>
      <w:pPr>
        <w:numPr>
          <w:ilvl w:val="0"/>
          <w:numId w:val="1001"/>
        </w:numPr>
        <w:pStyle w:val="Compact"/>
      </w:pPr>
      <w:r>
        <w:t xml:space="preserve">The supplier shall provide a dedicated after-sales support team based in Ankara, Turkey, available Monday through Friday, 08:00–17:00, for the duration of the warranty period.</w:t>
      </w:r>
    </w:p>
    <w:p>
      <w:pPr>
        <w:numPr>
          <w:ilvl w:val="0"/>
          <w:numId w:val="1001"/>
        </w:numPr>
        <w:pStyle w:val="Compact"/>
      </w:pPr>
      <w:r>
        <w:t xml:space="preserve">All intellectual property rights associated with the Teacher Secondary LMS platform and assessment software remain with the supplier; however, the Ankara Provincial Directorate is granted a perpetual, non-transferable license for use within all public secondary schools in Ankara.</w:t>
      </w:r>
    </w:p>
    <w:p>
      <w:pPr>
        <w:numPr>
          <w:ilvl w:val="0"/>
          <w:numId w:val="1001"/>
        </w:numPr>
        <w:pStyle w:val="Compact"/>
      </w:pPr>
      <w:r>
        <w:t xml:space="preserve">Disputes arising from this Purchase Order shall be resolved through the Ankara Regional Courts in accordance with Turkish civil and commercial law.</w:t>
      </w:r>
    </w:p>
    <w:p>
      <w:pPr>
        <w:numPr>
          <w:ilvl w:val="0"/>
          <w:numId w:val="1001"/>
        </w:numPr>
        <w:pStyle w:val="Compact"/>
      </w:pPr>
      <w:r>
        <w:t xml:space="preserve">This Purchase Order becomes effective upon signature by both parties and remains valid until all obligations, including warranty periods, have been fully discharged.</w:t>
      </w:r>
    </w:p>
    <w:bookmarkEnd w:id="26"/>
    <w:bookmarkStart w:id="27" w:name="authorization-and-signatures"/>
    <w:p>
      <w:pPr>
        <w:pStyle w:val="Heading2"/>
      </w:pPr>
      <w:r>
        <w:t xml:space="preserve">7. Authorization and Signatures</w:t>
      </w:r>
    </w:p>
    <w:p>
      <w:pPr>
        <w:pStyle w:val="FirstParagraph"/>
      </w:pPr>
      <w:r>
        <w:rPr>
          <w:bCs/>
          <w:b/>
        </w:rPr>
        <w:t xml:space="preserve">Dr. Elif Kaya</w:t>
      </w:r>
      <w:r>
        <w:br/>
      </w:r>
      <w:r>
        <w:t xml:space="preserve">Director, Teacher Secondary Education &amp; Professional Development Division</w:t>
      </w:r>
      <w:r>
        <w:br/>
      </w:r>
      <w:r>
        <w:t xml:space="preserve">Ministry of National Education — Ankara Provincial Directorate</w:t>
      </w:r>
      <w:r>
        <w:br/>
      </w:r>
      <w:r>
        <w:t xml:space="preserve">Date: _______________</w:t>
      </w:r>
    </w:p>
    <w:p>
      <w:pPr>
        <w:pStyle w:val="BodyText"/>
      </w:pPr>
      <w:r>
        <w:rPr>
          <w:bCs/>
          <w:b/>
        </w:rPr>
        <w:t xml:space="preserve">Mr. Mehmet Yılmaz</w:t>
      </w:r>
      <w:r>
        <w:br/>
      </w:r>
      <w:r>
        <w:t xml:space="preserve">Sales Director, EduTech Ankara Ltd.</w:t>
      </w:r>
      <w:r>
        <w:br/>
      </w:r>
      <w:r>
        <w:t xml:space="preserve">Ostim Organized Industrial Zone, Ankara, Turkey</w:t>
      </w:r>
      <w:r>
        <w:br/>
      </w:r>
      <w:r>
        <w:t xml:space="preserve">Date: _______________</w:t>
      </w:r>
    </w:p>
    <w:bookmarkEnd w:id="27"/>
    <w:p>
      <w:pPr>
        <w:pStyle w:val="BodyText"/>
      </w:pPr>
      <w:r>
        <w:t xml:space="preserve">Purchase Order No. TR-ANK-2025-04782 — Teacher Secondary Program — Ankara, Turkey</w:t>
      </w:r>
      <w:r>
        <w:br/>
      </w:r>
      <w:r>
        <w:t xml:space="preserve">This document is an official procurement record of the Ministry of National Education, Ankara Provincial Directorate. Unauthorized reproduction or distribution is prohibited under Turkish law.</w:t>
      </w:r>
      <w:r>
        <w:br/>
      </w:r>
      <w:r>
        <w:t xml:space="preserve">Document Classification: Official — For Internal and Supplier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Program - Turkey Ankara</dc:title>
  <dc:creator/>
  <dc:language>en</dc:language>
  <cp:keywords/>
  <dcterms:created xsi:type="dcterms:W3CDTF">2026-10-10T05:48:49Z</dcterms:created>
  <dcterms:modified xsi:type="dcterms:W3CDTF">2026-10-10T05:48:49Z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