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al-noor-educational-services-llc"/>
    <w:p>
      <w:pPr>
        <w:pStyle w:val="Heading1"/>
      </w:pPr>
      <w:r>
        <w:t xml:space="preserve">Al Noor Educational Services LLC</w:t>
      </w:r>
    </w:p>
    <w:p>
      <w:pPr>
        <w:pStyle w:val="FirstParagraph"/>
      </w:pPr>
      <w:r>
        <w:t xml:space="preserve">Office 1204, Level 12, Burj Khalifa, Downtown Dubai, United Arab Emirates</w:t>
      </w:r>
    </w:p>
    <w:p>
      <w:pPr>
        <w:pStyle w:val="BodyText"/>
      </w:pPr>
      <w:r>
        <w:t xml:space="preserve">Tel: +971 4 555 0192 | Email: procurement@alnooreducation.ae | TRN: 100234567800003</w:t>
      </w:r>
    </w:p>
    <w:p>
      <w:pPr>
        <w:pStyle w:val="BodyText"/>
      </w:pPr>
      <w:r>
        <w:t xml:space="preserve">Trade License No: 1045872 | Department of Economic Development, Dubai</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PO-2025-DS-0487</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01 September 2025</w:t>
      </w:r>
    </w:p>
    <w:p>
      <w:pPr>
        <w:pStyle w:val="BodyText"/>
      </w:pPr>
      <w:r>
        <w:rPr>
          <w:bCs/>
          <w:b/>
        </w:rPr>
        <w:t xml:space="preserve">Valid Until:</w:t>
      </w:r>
      <w:r>
        <w:t xml:space="preserve"> </w:t>
      </w:r>
      <w:r>
        <w:t xml:space="preserve">31 August 2025</w:t>
      </w:r>
    </w:p>
    <w:p>
      <w:pPr>
        <w:pStyle w:val="BodyText"/>
      </w:pPr>
      <w:r>
        <w:rPr>
          <w:bCs/>
          <w:b/>
        </w:rPr>
        <w:t xml:space="preserve">Currency:</w:t>
      </w:r>
      <w:r>
        <w:t xml:space="preserve"> </w:t>
      </w:r>
      <w:r>
        <w:t xml:space="preserve">UAE Dirham (AED)</w:t>
      </w:r>
    </w:p>
    <w:p>
      <w:pPr>
        <w:pStyle w:val="BodyText"/>
      </w:pPr>
      <w:r>
        <w:rPr>
          <w:bCs/>
          <w:b/>
        </w:rPr>
        <w:t xml:space="preserve">Payment Terms:</w:t>
      </w:r>
      <w:r>
        <w:t xml:space="preserve"> </w:t>
      </w:r>
      <w:r>
        <w:t xml:space="preserve">Net 30 Days</w:t>
      </w:r>
    </w:p>
    <w:bookmarkEnd w:id="21"/>
    <w:bookmarkStart w:id="22" w:name="vendor-supplier-information"/>
    <w:p>
      <w:pPr>
        <w:pStyle w:val="Heading3"/>
      </w:pPr>
      <w:r>
        <w:t xml:space="preserve">Vendor / Supplier Information</w:t>
      </w:r>
    </w:p>
    <w:p>
      <w:pPr>
        <w:pStyle w:val="FirstParagraph"/>
      </w:pPr>
      <w:r>
        <w:rPr>
          <w:bCs/>
          <w:b/>
        </w:rPr>
        <w:t xml:space="preserve">Company:</w:t>
      </w:r>
      <w:r>
        <w:t xml:space="preserve"> </w:t>
      </w:r>
      <w:r>
        <w:t xml:space="preserve">Gulf Academic Talent Solutions FZ-LLC</w:t>
      </w:r>
    </w:p>
    <w:p>
      <w:pPr>
        <w:pStyle w:val="BodyText"/>
      </w:pPr>
      <w:r>
        <w:rPr>
          <w:bCs/>
          <w:b/>
        </w:rPr>
        <w:t xml:space="preserve">Address:</w:t>
      </w:r>
      <w:r>
        <w:t xml:space="preserve"> </w:t>
      </w:r>
      <w:r>
        <w:t xml:space="preserve">Unit 7, Dubai International Financial Centre (DIFC), Gate Village 2, Dubai, United Arab Emirates</w:t>
      </w:r>
    </w:p>
    <w:p>
      <w:pPr>
        <w:pStyle w:val="BodyText"/>
      </w:pPr>
      <w:r>
        <w:rPr>
          <w:bCs/>
          <w:b/>
        </w:rPr>
        <w:t xml:space="preserve">Contact Person:</w:t>
      </w:r>
      <w:r>
        <w:t xml:space="preserve"> </w:t>
      </w:r>
      <w:r>
        <w:t xml:space="preserve">Ms. Fatima Al Mansoori</w:t>
      </w:r>
    </w:p>
    <w:p>
      <w:pPr>
        <w:pStyle w:val="BodyText"/>
      </w:pPr>
      <w:r>
        <w:rPr>
          <w:bCs/>
          <w:b/>
        </w:rPr>
        <w:t xml:space="preserve">Email:</w:t>
      </w:r>
      <w:r>
        <w:t xml:space="preserve"> </w:t>
      </w:r>
      <w:r>
        <w:t xml:space="preserve">contracts@gulfacademictalent.ae</w:t>
      </w:r>
    </w:p>
    <w:p>
      <w:pPr>
        <w:pStyle w:val="BodyText"/>
      </w:pPr>
      <w:r>
        <w:rPr>
          <w:bCs/>
          <w:b/>
        </w:rPr>
        <w:t xml:space="preserve">Phone:</w:t>
      </w:r>
      <w:r>
        <w:t xml:space="preserve"> </w:t>
      </w:r>
      <w:r>
        <w:t xml:space="preserve">+971 4 888 3321</w:t>
      </w:r>
    </w:p>
    <w:p>
      <w:pPr>
        <w:pStyle w:val="BodyText"/>
      </w:pPr>
      <w:r>
        <w:rPr>
          <w:bCs/>
          <w:b/>
        </w:rPr>
        <w:t xml:space="preserve">TRN:</w:t>
      </w:r>
      <w:r>
        <w:t xml:space="preserve"> </w:t>
      </w:r>
      <w:r>
        <w:t xml:space="preserve">100987654300003</w:t>
      </w:r>
    </w:p>
    <w:bookmarkEnd w:id="22"/>
    <w:p>
      <w:pPr>
        <w:pStyle w:val="BodyText"/>
      </w:pPr>
      <w:r>
        <w:t xml:space="preserve">Description of Purchase – Teacher Secondary Recruitment and Placement Services</w:t>
      </w:r>
    </w:p>
    <w:p>
      <w:pPr>
        <w:pStyle w:val="BodyText"/>
      </w:pPr>
      <w:r>
        <w:t xml:space="preserve">This</w:t>
      </w:r>
      <w:r>
        <w:t xml:space="preserve"> </w:t>
      </w:r>
      <w:r>
        <w:t xml:space="preserve">Purchase Order</w:t>
      </w:r>
      <w:r>
        <w:t xml:space="preserve"> </w:t>
      </w:r>
      <w:r>
        <w:t xml:space="preserve">is issued by Al Noor Educational Services LLC, a registered educational institution operating in</w:t>
      </w:r>
      <w:r>
        <w:t xml:space="preserve"> </w:t>
      </w:r>
      <w:r>
        <w:t xml:space="preserve">United Arab Emirates Dubai</w:t>
      </w:r>
      <w:r>
        <w:t xml:space="preserve">, to procure the recruitment, vetting, and placement of qualified</w:t>
      </w:r>
      <w:r>
        <w:t xml:space="preserve"> </w:t>
      </w:r>
      <w:r>
        <w:t xml:space="preserve">Teacher Secondary</w:t>
      </w:r>
      <w:r>
        <w:t xml:space="preserve"> </w:t>
      </w:r>
      <w:r>
        <w:t xml:space="preserve">personnel for the 2025/2026 academic year. The services described herein are governed by the Federal Decree-Law No. 32 of 2021 on the Private Sector Labour Law of the United Arab Emirates, the Dubai Knowledge and Human Development Authority (KHDA) regulations, and the applicable provisions of the UAE Civil Code.</w:t>
      </w:r>
    </w:p>
    <w:p>
      <w:pPr>
        <w:pStyle w:val="BodyText"/>
      </w:pPr>
      <w:r>
        <w:t xml:space="preserve">The</w:t>
      </w:r>
      <w:r>
        <w:t xml:space="preserve"> </w:t>
      </w:r>
      <w:r>
        <w:t xml:space="preserve">Teacher Secondary</w:t>
      </w:r>
      <w:r>
        <w:t xml:space="preserve"> </w:t>
      </w:r>
      <w:r>
        <w:t xml:space="preserve">positions covered under this</w:t>
      </w:r>
      <w:r>
        <w:t xml:space="preserve"> </w:t>
      </w:r>
      <w:r>
        <w:t xml:space="preserve">Purchase Order</w:t>
      </w:r>
      <w:r>
        <w:t xml:space="preserve"> </w:t>
      </w:r>
      <w:r>
        <w:t xml:space="preserve">pertain to secondary education (Grades 9 through 12) across the following subject areas, in compliance with the Dubai curriculum framework and the UAE Ministry of Education standards for secondary-level instruction.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Recruitment and placement of</w:t>
            </w:r>
            <w:r>
              <w:t xml:space="preserve"> </w:t>
            </w:r>
            <w:r>
              <w:rPr>
                <w:bCs/>
                <w:b/>
              </w:rPr>
              <w:t xml:space="preserve">Teacher Secondary</w:t>
            </w:r>
            <w:r>
              <w:t xml:space="preserve"> </w:t>
            </w:r>
            <w:r>
              <w:t xml:space="preserve">– Mathematics (Grades 9–12), minimum 5 years experience, KHDA-approved qualification</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02</w:t>
            </w:r>
          </w:p>
        </w:tc>
        <w:tc>
          <w:tcPr/>
          <w:p>
            <w:pPr>
              <w:pStyle w:val="Compact"/>
              <w:jc w:val="left"/>
            </w:pPr>
            <w:r>
              <w:t xml:space="preserve">Recruitment and placement of</w:t>
            </w:r>
            <w:r>
              <w:t xml:space="preserve"> </w:t>
            </w:r>
            <w:r>
              <w:rPr>
                <w:bCs/>
                <w:b/>
              </w:rPr>
              <w:t xml:space="preserve">Teacher Secondary</w:t>
            </w:r>
            <w:r>
              <w:t xml:space="preserve"> </w:t>
            </w:r>
            <w:r>
              <w:t xml:space="preserve">– English Language &amp; Literature (Grades 9–12), minimum 5 years experience, KHDA-approved qualification</w:t>
            </w:r>
          </w:p>
        </w:tc>
        <w:tc>
          <w:tcPr/>
          <w:p>
            <w:pPr>
              <w:pStyle w:val="Compact"/>
              <w:jc w:val="left"/>
            </w:pPr>
            <w:r>
              <w:t xml:space="preserve">6</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03</w:t>
            </w:r>
          </w:p>
        </w:tc>
        <w:tc>
          <w:tcPr/>
          <w:p>
            <w:pPr>
              <w:pStyle w:val="Compact"/>
              <w:jc w:val="left"/>
            </w:pPr>
            <w:r>
              <w:t xml:space="preserve">Recruitment and placement of</w:t>
            </w:r>
            <w:r>
              <w:t xml:space="preserve"> </w:t>
            </w:r>
            <w:r>
              <w:rPr>
                <w:bCs/>
                <w:b/>
              </w:rPr>
              <w:t xml:space="preserve">Teacher Secondary</w:t>
            </w:r>
            <w:r>
              <w:t xml:space="preserve"> </w:t>
            </w:r>
            <w:r>
              <w:t xml:space="preserve">– Physics &amp; Chemistry (Grades 9–12), minimum 5 years experience, KHDA-approved qualification</w:t>
            </w:r>
          </w:p>
        </w:tc>
        <w:tc>
          <w:tcPr/>
          <w:p>
            <w:pPr>
              <w:pStyle w:val="Compact"/>
              <w:jc w:val="left"/>
            </w:pPr>
            <w:r>
              <w:t xml:space="preserve">3</w:t>
            </w:r>
          </w:p>
        </w:tc>
        <w:tc>
          <w:tcPr/>
          <w:p>
            <w:pPr>
              <w:pStyle w:val="Compact"/>
              <w:jc w:val="left"/>
            </w:pPr>
            <w:r>
              <w:t xml:space="preserve">19,200.00</w:t>
            </w:r>
          </w:p>
        </w:tc>
        <w:tc>
          <w:tcPr/>
          <w:p>
            <w:pPr>
              <w:pStyle w:val="Compact"/>
              <w:jc w:val="left"/>
            </w:pPr>
            <w:r>
              <w:t xml:space="preserve">57,600.00</w:t>
            </w:r>
          </w:p>
        </w:tc>
      </w:tr>
      <w:tr>
        <w:tc>
          <w:tcPr/>
          <w:p>
            <w:pPr>
              <w:pStyle w:val="Compact"/>
              <w:jc w:val="left"/>
            </w:pPr>
            <w:r>
              <w:t xml:space="preserve">04</w:t>
            </w:r>
          </w:p>
        </w:tc>
        <w:tc>
          <w:tcPr/>
          <w:p>
            <w:pPr>
              <w:pStyle w:val="Compact"/>
              <w:jc w:val="left"/>
            </w:pPr>
            <w:r>
              <w:t xml:space="preserve">Recruitment and placement of</w:t>
            </w:r>
            <w:r>
              <w:t xml:space="preserve"> </w:t>
            </w:r>
            <w:r>
              <w:rPr>
                <w:bCs/>
                <w:b/>
              </w:rPr>
              <w:t xml:space="preserve">Teacher Secondary</w:t>
            </w:r>
            <w:r>
              <w:t xml:space="preserve"> </w:t>
            </w:r>
            <w:r>
              <w:t xml:space="preserve">– Biology &amp; Environmental Science (Grades 9–12), minimum 5 years experience, KHDA-approved qualification</w:t>
            </w:r>
          </w:p>
        </w:tc>
        <w:tc>
          <w:tcPr/>
          <w:p>
            <w:pPr>
              <w:pStyle w:val="Compact"/>
              <w:jc w:val="left"/>
            </w:pPr>
            <w:r>
              <w:t xml:space="preserve">3</w:t>
            </w:r>
          </w:p>
        </w:tc>
        <w:tc>
          <w:tcPr/>
          <w:p>
            <w:pPr>
              <w:pStyle w:val="Compact"/>
              <w:jc w:val="left"/>
            </w:pPr>
            <w:r>
              <w:t xml:space="preserve">19,200.00</w:t>
            </w:r>
          </w:p>
        </w:tc>
        <w:tc>
          <w:tcPr/>
          <w:p>
            <w:pPr>
              <w:pStyle w:val="Compact"/>
              <w:jc w:val="left"/>
            </w:pPr>
            <w:r>
              <w:t xml:space="preserve">57,600.00</w:t>
            </w:r>
          </w:p>
        </w:tc>
      </w:tr>
      <w:tr>
        <w:tc>
          <w:tcPr/>
          <w:p>
            <w:pPr>
              <w:pStyle w:val="Compact"/>
              <w:jc w:val="left"/>
            </w:pPr>
            <w:r>
              <w:t xml:space="preserve">05</w:t>
            </w:r>
          </w:p>
        </w:tc>
        <w:tc>
          <w:tcPr/>
          <w:p>
            <w:pPr>
              <w:pStyle w:val="Compact"/>
              <w:jc w:val="left"/>
            </w:pPr>
            <w:r>
              <w:t xml:space="preserve">Recruitment and placement of</w:t>
            </w:r>
            <w:r>
              <w:t xml:space="preserve"> </w:t>
            </w:r>
            <w:r>
              <w:rPr>
                <w:bCs/>
                <w:b/>
              </w:rPr>
              <w:t xml:space="preserve">Teacher Secondary</w:t>
            </w:r>
            <w:r>
              <w:t xml:space="preserve"> </w:t>
            </w:r>
            <w:r>
              <w:t xml:space="preserve">– Arabic Language &amp; Islamic Studies (Grades 9–12), minimum 5 years experience, KHDA-approved qualification</w:t>
            </w:r>
          </w:p>
        </w:tc>
        <w:tc>
          <w:tcPr/>
          <w:p>
            <w:pPr>
              <w:pStyle w:val="Compact"/>
              <w:jc w:val="left"/>
            </w:pPr>
            <w:r>
              <w:t xml:space="preserve">4</w:t>
            </w:r>
          </w:p>
        </w:tc>
        <w:tc>
          <w:tcPr/>
          <w:p>
            <w:pPr>
              <w:pStyle w:val="Compact"/>
              <w:jc w:val="left"/>
            </w:pPr>
            <w:r>
              <w:t xml:space="preserve">17,800.00</w:t>
            </w:r>
          </w:p>
        </w:tc>
        <w:tc>
          <w:tcPr/>
          <w:p>
            <w:pPr>
              <w:pStyle w:val="Compact"/>
              <w:jc w:val="left"/>
            </w:pPr>
            <w:r>
              <w:t xml:space="preserve">71,200.00</w:t>
            </w:r>
          </w:p>
        </w:tc>
      </w:tr>
      <w:tr>
        <w:tc>
          <w:tcPr/>
          <w:p>
            <w:pPr>
              <w:pStyle w:val="Compact"/>
              <w:jc w:val="left"/>
            </w:pPr>
            <w:r>
              <w:t xml:space="preserve">06</w:t>
            </w:r>
          </w:p>
        </w:tc>
        <w:tc>
          <w:tcPr/>
          <w:p>
            <w:pPr>
              <w:pStyle w:val="Compact"/>
              <w:jc w:val="left"/>
            </w:pPr>
            <w:r>
              <w:t xml:space="preserve">Recruitment and placement of</w:t>
            </w:r>
            <w:r>
              <w:t xml:space="preserve"> </w:t>
            </w:r>
            <w:r>
              <w:rPr>
                <w:bCs/>
                <w:b/>
              </w:rPr>
              <w:t xml:space="preserve">Teacher Secondary</w:t>
            </w:r>
            <w:r>
              <w:t xml:space="preserve"> </w:t>
            </w:r>
            <w:r>
              <w:t xml:space="preserve">– Social Studies &amp; History (Grades 9–12), minimum 5 years experience, KHDA-approved qualification</w:t>
            </w:r>
          </w:p>
        </w:tc>
        <w:tc>
          <w:tcPr/>
          <w:p>
            <w:pPr>
              <w:pStyle w:val="Compact"/>
              <w:jc w:val="left"/>
            </w:pPr>
            <w:r>
              <w:t xml:space="preserve">2</w:t>
            </w:r>
          </w:p>
        </w:tc>
        <w:tc>
          <w:tcPr/>
          <w:p>
            <w:pPr>
              <w:pStyle w:val="Compact"/>
              <w:jc w:val="left"/>
            </w:pPr>
            <w:r>
              <w:t xml:space="preserve">17,800.00</w:t>
            </w:r>
          </w:p>
        </w:tc>
        <w:tc>
          <w:tcPr/>
          <w:p>
            <w:pPr>
              <w:pStyle w:val="Compact"/>
              <w:jc w:val="left"/>
            </w:pPr>
            <w:r>
              <w:t xml:space="preserve">35,600.00</w:t>
            </w:r>
          </w:p>
        </w:tc>
      </w:tr>
      <w:tr>
        <w:tc>
          <w:tcPr/>
          <w:p>
            <w:pPr>
              <w:pStyle w:val="Compact"/>
              <w:jc w:val="left"/>
            </w:pPr>
            <w:r>
              <w:t xml:space="preserve">07</w:t>
            </w:r>
          </w:p>
        </w:tc>
        <w:tc>
          <w:tcPr/>
          <w:p>
            <w:pPr>
              <w:pStyle w:val="Compact"/>
              <w:jc w:val="left"/>
            </w:pPr>
            <w:r>
              <w:t xml:space="preserve">Recruitment and placement of</w:t>
            </w:r>
            <w:r>
              <w:t xml:space="preserve"> </w:t>
            </w:r>
            <w:r>
              <w:rPr>
                <w:bCs/>
                <w:b/>
              </w:rPr>
              <w:t xml:space="preserve">Teacher Secondary</w:t>
            </w:r>
            <w:r>
              <w:t xml:space="preserve"> </w:t>
            </w:r>
            <w:r>
              <w:t xml:space="preserve">– Computer Science &amp; ICT (Grades 9–12), minimum 5 years experience, KHDA-approved qualification</w:t>
            </w:r>
          </w:p>
        </w:tc>
        <w:tc>
          <w:tcPr/>
          <w:p>
            <w:pPr>
              <w:pStyle w:val="Compact"/>
              <w:jc w:val="left"/>
            </w:pPr>
            <w:r>
              <w:t xml:space="preserve">2</w:t>
            </w:r>
          </w:p>
        </w:tc>
        <w:tc>
          <w:tcPr/>
          <w:p>
            <w:pPr>
              <w:pStyle w:val="Compact"/>
              <w:jc w:val="left"/>
            </w:pPr>
            <w:r>
              <w:t xml:space="preserve">20,000.00</w:t>
            </w:r>
          </w:p>
        </w:tc>
        <w:tc>
          <w:tcPr/>
          <w:p>
            <w:pPr>
              <w:pStyle w:val="Compact"/>
              <w:jc w:val="left"/>
            </w:pPr>
            <w:r>
              <w:t xml:space="preserve">40,000.00</w:t>
            </w:r>
          </w:p>
        </w:tc>
      </w:tr>
      <w:tr>
        <w:tc>
          <w:tcPr/>
          <w:p>
            <w:pPr>
              <w:pStyle w:val="Compact"/>
              <w:jc w:val="left"/>
            </w:pPr>
            <w:r>
              <w:t xml:space="preserve">08</w:t>
            </w:r>
          </w:p>
        </w:tc>
        <w:tc>
          <w:tcPr/>
          <w:p>
            <w:pPr>
              <w:pStyle w:val="Compact"/>
              <w:jc w:val="left"/>
            </w:pPr>
            <w:r>
              <w:t xml:space="preserve">Administrative processing: visa sponsorship, Emirates ID, medical fitness, and labour contract registration for all</w:t>
            </w:r>
            <w:r>
              <w:t xml:space="preserve"> </w:t>
            </w:r>
            <w:r>
              <w:rPr>
                <w:bCs/>
                <w:b/>
              </w:rPr>
              <w:t xml:space="preserve">Teacher Secondary</w:t>
            </w:r>
            <w:r>
              <w:t xml:space="preserve"> </w:t>
            </w:r>
            <w:r>
              <w:t xml:space="preserve">candidates in</w:t>
            </w:r>
            <w:r>
              <w:t xml:space="preserve"> </w:t>
            </w:r>
            <w:r>
              <w:rPr>
                <w:bCs/>
                <w:b/>
              </w:rPr>
              <w:t xml:space="preserve">United Arab Emirates Dubai</w:t>
            </w:r>
          </w:p>
        </w:tc>
        <w:tc>
          <w:tcPr/>
          <w:p>
            <w:pPr>
              <w:pStyle w:val="Compact"/>
              <w:jc w:val="left"/>
            </w:pPr>
            <w:r>
              <w:t xml:space="preserve">24</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09</w:t>
            </w:r>
          </w:p>
        </w:tc>
        <w:tc>
          <w:tcPr/>
          <w:p>
            <w:pPr>
              <w:pStyle w:val="Compact"/>
              <w:jc w:val="left"/>
            </w:pPr>
            <w:r>
              <w:t xml:space="preserve">Onboarding orientation programme aligned with Dubai KHDA secondary education standards and UAE national curriculum integration</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gridSpan w:val="4"/>
          </w:tcPr>
          <w:p>
            <w:pPr>
              <w:pStyle w:val="Compact"/>
              <w:jc w:val="right"/>
            </w:pPr>
            <w:r>
              <w:t xml:space="preserve">Subtotal</w:t>
            </w:r>
          </w:p>
        </w:tc>
        <w:tc>
          <w:tcPr/>
          <w:p>
            <w:pPr>
              <w:pStyle w:val="Compact"/>
              <w:jc w:val="left"/>
            </w:pPr>
            <w:r>
              <w:t xml:space="preserve">548,800.00</w:t>
            </w:r>
          </w:p>
        </w:tc>
      </w:tr>
      <w:tr>
        <w:tc>
          <w:tcPr>
            <w:gridSpan w:val="4"/>
          </w:tcPr>
          <w:p>
            <w:pPr>
              <w:pStyle w:val="Compact"/>
              <w:jc w:val="right"/>
            </w:pPr>
            <w:r>
              <w:t xml:space="preserve">VAT (5% – UAE Federal Tax Authority)</w:t>
            </w:r>
          </w:p>
        </w:tc>
        <w:tc>
          <w:tcPr/>
          <w:p>
            <w:pPr>
              <w:pStyle w:val="Compact"/>
              <w:jc w:val="left"/>
            </w:pPr>
            <w:r>
              <w:t xml:space="preserve">27,440.00</w:t>
            </w:r>
          </w:p>
        </w:tc>
      </w:tr>
      <w:tr>
        <w:tc>
          <w:tcPr>
            <w:gridSpan w:val="4"/>
          </w:tcPr>
          <w:p>
            <w:pPr>
              <w:pStyle w:val="Compact"/>
              <w:jc w:val="right"/>
            </w:pPr>
            <w:r>
              <w:rPr>
                <w:bCs/>
                <w:b/>
              </w:rPr>
              <w:t xml:space="preserve">Grand Total (AED)</w:t>
            </w:r>
          </w:p>
        </w:tc>
        <w:tc>
          <w:tcPr/>
          <w:p>
            <w:pPr>
              <w:pStyle w:val="Compact"/>
              <w:jc w:val="left"/>
            </w:pPr>
            <w:r>
              <w:rPr>
                <w:bCs/>
                <w:b/>
              </w:rPr>
              <w:t xml:space="preserve">576,240.00</w:t>
            </w:r>
          </w:p>
        </w:tc>
      </w:tr>
    </w:tbl>
    <w:p>
      <w:pPr>
        <w:pStyle w:val="BodyText"/>
      </w:pPr>
      <w:r>
        <w:t xml:space="preserve">Terms and Conditions</w:t>
      </w:r>
    </w:p>
    <w:p>
      <w:pPr>
        <w:pStyle w:val="BodyText"/>
      </w:pPr>
      <w:r>
        <w:rPr>
          <w:bCs/>
          <w:b/>
        </w:rPr>
        <w:t xml:space="preserve">1. Scope of Work:</w:t>
      </w:r>
      <w:r>
        <w:t xml:space="preserve"> </w:t>
      </w:r>
      <w:r>
        <w:t xml:space="preserve">The vendor shall identify, interview, verify credentials of, and place qualified</w:t>
      </w:r>
      <w:r>
        <w:t xml:space="preserve"> </w:t>
      </w:r>
      <w:r>
        <w:t xml:space="preserve">Teacher Secondary</w:t>
      </w:r>
      <w:r>
        <w:t xml:space="preserve"> </w:t>
      </w:r>
      <w:r>
        <w:t xml:space="preserve">candidates who meet the minimum requirements set forth by the Dubai Knowledge and Human Development Authority (KHDA) for secondary-level educators. All candidates must hold a recognised bachelor's degree or higher in their subject area, a valid teaching licence, and a minimum of five (5) years of documented secondary school teaching experience.</w:t>
      </w:r>
    </w:p>
    <w:p>
      <w:pPr>
        <w:pStyle w:val="BodyText"/>
      </w:pPr>
      <w:r>
        <w:rPr>
          <w:bCs/>
          <w:b/>
        </w:rPr>
        <w:t xml:space="preserve">2. Compliance with UAE Law:</w:t>
      </w:r>
      <w:r>
        <w:t xml:space="preserve"> </w:t>
      </w:r>
      <w:r>
        <w:t xml:space="preserve">All</w:t>
      </w:r>
      <w:r>
        <w:t xml:space="preserve"> </w:t>
      </w:r>
      <w:r>
        <w:t xml:space="preserve">Teacher Secondary</w:t>
      </w:r>
      <w:r>
        <w:t xml:space="preserve"> </w:t>
      </w:r>
      <w:r>
        <w:t xml:space="preserve">placements under this</w:t>
      </w:r>
      <w:r>
        <w:t xml:space="preserve"> </w:t>
      </w:r>
      <w:r>
        <w:t xml:space="preserve">Purchase Order</w:t>
      </w:r>
      <w:r>
        <w:t xml:space="preserve"> </w:t>
      </w:r>
      <w:r>
        <w:t xml:space="preserve">shall comply with the UAE Federal Decree-Law No. 32 of 2021 (Private Sector Labour Law), the UAE Federal Law No. 3 of 2016 on the Protection of Personal Data, and all applicable regulations issued by the Dubai Department of Economic Development and the Dubai KHDA. The vendor is responsible for ensuring that all</w:t>
      </w:r>
      <w:r>
        <w:t xml:space="preserve"> </w:t>
      </w:r>
      <w:r>
        <w:t xml:space="preserve">Teacher Secondary</w:t>
      </w:r>
      <w:r>
        <w:t xml:space="preserve"> </w:t>
      </w:r>
      <w:r>
        <w:t xml:space="preserve">candidates obtain valid UAE residence visas, Emirates ID cards, and medical fitness certificates prior to commencing duties in</w:t>
      </w:r>
      <w:r>
        <w:t xml:space="preserve"> </w:t>
      </w:r>
      <w:r>
        <w:t xml:space="preserve">United Arab Emirates Dubai</w:t>
      </w:r>
      <w:r>
        <w:t xml:space="preserve">.</w:t>
      </w:r>
    </w:p>
    <w:p>
      <w:pPr>
        <w:pStyle w:val="BodyText"/>
      </w:pPr>
      <w:r>
        <w:rPr>
          <w:bCs/>
          <w:b/>
        </w:rPr>
        <w:t xml:space="preserve">3. Delivery and Timeline:</w:t>
      </w:r>
      <w:r>
        <w:t xml:space="preserve"> </w:t>
      </w:r>
      <w:r>
        <w:t xml:space="preserve">All</w:t>
      </w:r>
      <w:r>
        <w:t xml:space="preserve"> </w:t>
      </w:r>
      <w:r>
        <w:t xml:space="preserve">Teacher Secondary</w:t>
      </w:r>
      <w:r>
        <w:t xml:space="preserve"> </w:t>
      </w:r>
      <w:r>
        <w:t xml:space="preserve">candidates must be fully onboarded, with valid labour contracts registered with the Ministry of Human Resources and Emiratisation (MOHRE), no later than 01 September 2025. The vendor shall submit a detailed recruitment progress report every two (2) weeks from the date of this</w:t>
      </w:r>
      <w:r>
        <w:t xml:space="preserve"> </w:t>
      </w:r>
      <w:r>
        <w:t xml:space="preserve">Purchase Order</w:t>
      </w:r>
      <w:r>
        <w:t xml:space="preserve"> </w:t>
      </w:r>
      <w:r>
        <w:t xml:space="preserve">until all positions are filled.</w:t>
      </w:r>
    </w:p>
    <w:p>
      <w:pPr>
        <w:pStyle w:val="BodyText"/>
      </w:pPr>
      <w:r>
        <w:rPr>
          <w:bCs/>
          <w:b/>
        </w:rPr>
        <w:t xml:space="preserve">4. Payment Schedule:</w:t>
      </w:r>
      <w:r>
        <w:t xml:space="preserve"> </w:t>
      </w:r>
      <w:r>
        <w:t xml:space="preserve">Payment shall be made in three (3) instalments: 30% upon execution of this</w:t>
      </w:r>
      <w:r>
        <w:t xml:space="preserve"> </w:t>
      </w:r>
      <w:r>
        <w:t xml:space="preserve">Purchase Order</w:t>
      </w:r>
      <w:r>
        <w:t xml:space="preserve">, 40% upon successful placement and visa approval of at least 75% of the</w:t>
      </w:r>
      <w:r>
        <w:t xml:space="preserve"> </w:t>
      </w:r>
      <w:r>
        <w:t xml:space="preserve">Teacher Secondary</w:t>
      </w:r>
      <w:r>
        <w:t xml:space="preserve"> </w:t>
      </w:r>
      <w:r>
        <w:t xml:space="preserve">candidates, and the remaining 30% upon full completion of all placements and submission of final documentation. All payments shall be made via bank transfer to the vendor's designated account in the United Arab Emirates.</w:t>
      </w:r>
    </w:p>
    <w:p>
      <w:pPr>
        <w:pStyle w:val="BodyText"/>
      </w:pPr>
      <w:r>
        <w:rPr>
          <w:bCs/>
          <w:b/>
        </w:rPr>
        <w:t xml:space="preserve">5. Replacement Guarantee:</w:t>
      </w:r>
      <w:r>
        <w:t xml:space="preserve"> </w:t>
      </w:r>
      <w:r>
        <w:t xml:space="preserve">In the event that any</w:t>
      </w:r>
      <w:r>
        <w:t xml:space="preserve"> </w:t>
      </w:r>
      <w:r>
        <w:t xml:space="preserve">Teacher Secondary</w:t>
      </w:r>
      <w:r>
        <w:t xml:space="preserve"> </w:t>
      </w:r>
      <w:r>
        <w:t xml:space="preserve">candidate resigns, is terminated for cause, or fails to meet the agreed-upon performance standards within the first six (6) months of employment, the vendor shall provide a replacement</w:t>
      </w:r>
      <w:r>
        <w:t xml:space="preserve"> </w:t>
      </w:r>
      <w:r>
        <w:t xml:space="preserve">Teacher Secondary</w:t>
      </w:r>
      <w:r>
        <w:t xml:space="preserve"> </w:t>
      </w:r>
      <w:r>
        <w:t xml:space="preserve">candidate at no additional cost to the buyer, subject to the same qualification criteria specified in this</w:t>
      </w:r>
      <w:r>
        <w:t xml:space="preserve"> </w:t>
      </w:r>
      <w:r>
        <w:t xml:space="preserve">Purchase Order</w:t>
      </w:r>
      <w:r>
        <w:t xml:space="preserve">.</w:t>
      </w:r>
    </w:p>
    <w:p>
      <w:pPr>
        <w:pStyle w:val="BodyText"/>
      </w:pPr>
      <w:r>
        <w:rPr>
          <w:bCs/>
          <w:b/>
        </w:rPr>
        <w:t xml:space="preserve">6. Confidentiality:</w:t>
      </w:r>
      <w:r>
        <w:t xml:space="preserve"> </w:t>
      </w:r>
      <w:r>
        <w:t xml:space="preserve">The vendor shall treat all personal data of</w:t>
      </w:r>
      <w:r>
        <w:t xml:space="preserve"> </w:t>
      </w:r>
      <w:r>
        <w:t xml:space="preserve">Teacher Secondary</w:t>
      </w:r>
      <w:r>
        <w:t xml:space="preserve"> </w:t>
      </w:r>
      <w:r>
        <w:t xml:space="preserve">candidates and all institutional information of the buyer as strictly confidential, in accordance with UAE data protection regulations. No information pertaining to this</w:t>
      </w:r>
      <w:r>
        <w:t xml:space="preserve"> </w:t>
      </w:r>
      <w:r>
        <w:t xml:space="preserve">Purchase Order</w:t>
      </w:r>
      <w:r>
        <w:t xml:space="preserve"> </w:t>
      </w:r>
      <w:r>
        <w:t xml:space="preserve">or the</w:t>
      </w:r>
      <w:r>
        <w:t xml:space="preserve"> </w:t>
      </w:r>
      <w:r>
        <w:t xml:space="preserve">Teacher Secondary</w:t>
      </w:r>
      <w:r>
        <w:t xml:space="preserve"> </w:t>
      </w:r>
      <w:r>
        <w:t xml:space="preserve">recruitment process shall be disclosed to third parties without prior written consent.</w:t>
      </w:r>
    </w:p>
    <w:p>
      <w:pPr>
        <w:pStyle w:val="BodyText"/>
      </w:pPr>
      <w:r>
        <w:rPr>
          <w:bCs/>
          <w:b/>
        </w:rPr>
        <w:t xml:space="preserve">7. Governing Law and Dispute Resolution:</w:t>
      </w:r>
      <w:r>
        <w:t xml:space="preserve"> </w:t>
      </w:r>
      <w:r>
        <w:t xml:space="preserve">This</w:t>
      </w:r>
      <w:r>
        <w:t xml:space="preserve"> </w:t>
      </w:r>
      <w:r>
        <w:t xml:space="preserve">Purchase Order</w:t>
      </w:r>
      <w:r>
        <w:t xml:space="preserve"> </w:t>
      </w:r>
      <w:r>
        <w:t xml:space="preserve">shall be governed by and construed in accordance with the laws of the United Arab Emirates. Any disputes arising from or in connection with this</w:t>
      </w:r>
      <w:r>
        <w:t xml:space="preserve"> </w:t>
      </w:r>
      <w:r>
        <w:t xml:space="preserve">Purchase Order</w:t>
      </w:r>
      <w:r>
        <w:t xml:space="preserve"> </w:t>
      </w:r>
      <w:r>
        <w:t xml:space="preserve">shall be resolved through the Dubai International Financial Centre (DIFC) Courts or, at the buyer's discretion, through arbitration administered by the Dubai International Arbitration Centre (DIAC) in</w:t>
      </w:r>
      <w:r>
        <w:t xml:space="preserve"> </w:t>
      </w:r>
      <w:r>
        <w:t xml:space="preserve">United Arab Emirates Dubai</w:t>
      </w:r>
      <w:r>
        <w:t xml:space="preserve">.</w:t>
      </w:r>
    </w:p>
    <w:p>
      <w:pPr>
        <w:pStyle w:val="BodyText"/>
      </w:pPr>
      <w:r>
        <w:rPr>
          <w:bCs/>
          <w:b/>
        </w:rPr>
        <w:t xml:space="preserve">8. Cancellation:</w:t>
      </w:r>
      <w:r>
        <w:t xml:space="preserve"> </w:t>
      </w:r>
      <w:r>
        <w:t xml:space="preserve">Either party may cancel this</w:t>
      </w:r>
      <w:r>
        <w:t xml:space="preserve"> </w:t>
      </w:r>
      <w:r>
        <w:t xml:space="preserve">Purchase Order</w:t>
      </w:r>
      <w:r>
        <w:t xml:space="preserve"> </w:t>
      </w:r>
      <w:r>
        <w:t xml:space="preserve">with thirty (30) days' written notice. In the event of cancellation by the buyer after the vendor has commenced recruitment activities, the buyer shall be liable for all documented, non-recoverable expenses incurred by the vendor up to the date of cancellation.</w:t>
      </w:r>
    </w:p>
    <w:p>
      <w:pPr>
        <w:pStyle w:val="BodyText"/>
      </w:pPr>
      <w:r>
        <w:t xml:space="preserve">Authorisation and Acceptance</w:t>
      </w:r>
    </w:p>
    <w:p>
      <w:pPr>
        <w:pStyle w:val="BodyText"/>
      </w:pPr>
      <w:r>
        <w:rPr>
          <w:bCs/>
          <w:b/>
        </w:rPr>
        <w:t xml:space="preserve">For and on behalf of Al Noor Educational Services LLC (Buyer)</w:t>
      </w:r>
    </w:p>
    <w:p>
      <w:pPr>
        <w:pStyle w:val="BodyText"/>
      </w:pPr>
      <w:r>
        <w:t xml:space="preserve">Name: Dr. Khalid bin Rashid Al Maktoum</w:t>
      </w:r>
    </w:p>
    <w:p>
      <w:pPr>
        <w:pStyle w:val="BodyText"/>
      </w:pPr>
      <w:r>
        <w:t xml:space="preserve">Title: Director of Human Resources</w:t>
      </w:r>
    </w:p>
    <w:p>
      <w:pPr>
        <w:pStyle w:val="BodyText"/>
      </w:pPr>
      <w:r>
        <w:t xml:space="preserve">Signature: ___________________________</w:t>
      </w:r>
    </w:p>
    <w:p>
      <w:pPr>
        <w:pStyle w:val="BodyText"/>
      </w:pPr>
      <w:r>
        <w:t xml:space="preserve">Date: 15 June 2025</w:t>
      </w:r>
    </w:p>
    <w:p>
      <w:pPr>
        <w:pStyle w:val="BodyText"/>
      </w:pPr>
      <w:r>
        <w:t xml:space="preserve">Company Stamp:</w:t>
      </w:r>
    </w:p>
    <w:p>
      <w:pPr>
        <w:pStyle w:val="BodyText"/>
      </w:pPr>
      <w:r>
        <w:rPr>
          <w:bCs/>
          <w:b/>
        </w:rPr>
        <w:t xml:space="preserve">For and on behalf of Gulf Academic Talent Solutions FZ-LLC (Vendor)</w:t>
      </w:r>
    </w:p>
    <w:p>
      <w:pPr>
        <w:pStyle w:val="BodyText"/>
      </w:pPr>
      <w:r>
        <w:t xml:space="preserve">Name: Ms. Fatima Al Mansoori</w:t>
      </w:r>
    </w:p>
    <w:p>
      <w:pPr>
        <w:pStyle w:val="BodyText"/>
      </w:pPr>
      <w:r>
        <w:t xml:space="preserve">Title: Head of Contracts &amp; Procurement</w:t>
      </w:r>
    </w:p>
    <w:p>
      <w:pPr>
        <w:pStyle w:val="BodyText"/>
      </w:pPr>
      <w:r>
        <w:t xml:space="preserve">Signature: ___________________________</w:t>
      </w:r>
    </w:p>
    <w:p>
      <w:pPr>
        <w:pStyle w:val="BodyText"/>
      </w:pPr>
      <w:r>
        <w:t xml:space="preserve">Date: 15 June 2025</w:t>
      </w:r>
    </w:p>
    <w:p>
      <w:pPr>
        <w:pStyle w:val="BodyText"/>
      </w:pPr>
      <w:r>
        <w:t xml:space="preserve">Company Stamp:</w:t>
      </w:r>
    </w:p>
    <w:p>
      <w:pPr>
        <w:pStyle w:val="BodyText"/>
      </w:pPr>
      <w:r>
        <w:t xml:space="preserve">This</w:t>
      </w:r>
      <w:r>
        <w:t xml:space="preserve"> </w:t>
      </w:r>
      <w:r>
        <w:t xml:space="preserve">Purchase Order</w:t>
      </w:r>
      <w:r>
        <w:t xml:space="preserve"> </w:t>
      </w:r>
      <w:r>
        <w:t xml:space="preserve">(PO-2025-DS-0487) is issued for the procurement of</w:t>
      </w:r>
      <w:r>
        <w:t xml:space="preserve"> </w:t>
      </w:r>
      <w:r>
        <w:t xml:space="preserve">Teacher Secondary</w:t>
      </w:r>
      <w:r>
        <w:t xml:space="preserve"> </w:t>
      </w:r>
      <w:r>
        <w:t xml:space="preserve">recruitment and placement services in</w:t>
      </w:r>
      <w:r>
        <w:t xml:space="preserve"> </w:t>
      </w:r>
      <w:r>
        <w:t xml:space="preserve">United Arab Emirates Dubai</w:t>
      </w:r>
      <w:r>
        <w:t xml:space="preserve">. This document constitutes a binding agreement upon signature by both parties. All references to UAE legislation, KHDA regulations, and MOHRE requirements are incorporated by reference. This</w:t>
      </w:r>
      <w:r>
        <w:t xml:space="preserve"> </w:t>
      </w:r>
      <w:r>
        <w:t xml:space="preserve">Purchase Order</w:t>
      </w:r>
      <w:r>
        <w:t xml:space="preserve"> </w:t>
      </w:r>
      <w:r>
        <w:t xml:space="preserve">is valid for a period of ninety (90) days from the date of issue. For any queries regarding this</w:t>
      </w:r>
      <w:r>
        <w:t xml:space="preserve"> </w:t>
      </w:r>
      <w:r>
        <w:t xml:space="preserve">Purchase Order</w:t>
      </w:r>
      <w:r>
        <w:t xml:space="preserve">, please contact the Procurement Department at Al Noor Educational Services LLC, Downtown Dubai, United Arab Emirates.</w:t>
      </w:r>
    </w:p>
    <w:p>
      <w:pPr>
        <w:pStyle w:val="BodyText"/>
      </w:pPr>
      <w:r>
        <w:t xml:space="preserve">Document Reference: PO-2025-DS-0487 | Page 1 of 1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Services - United Arab Emirates Dubai</dc:title>
  <dc:creator/>
  <dc:language>en</dc:language>
  <cp:keywords/>
  <dcterms:created xsi:type="dcterms:W3CDTF">2026-10-10T01:58:24Z</dcterms:created>
  <dcterms:modified xsi:type="dcterms:W3CDTF">2026-10-10T01:58:24Z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