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PO No.: HSD-2025-04872</w:t>
      </w:r>
    </w:p>
    <w:p>
      <w:pPr>
        <w:pStyle w:val="BodyText"/>
      </w:pPr>
      <w:r>
        <w:t xml:space="preserve">Date of Issue: June 12, 2025</w:t>
      </w:r>
    </w:p>
    <w:p>
      <w:pPr>
        <w:pStyle w:val="BodyText"/>
      </w:pPr>
      <w:r>
        <w:t xml:space="preserve">Valid Until: September 1, 2025</w:t>
      </w:r>
    </w:p>
    <w:p>
      <w:pPr>
        <w:pStyle w:val="BodyText"/>
      </w:pPr>
      <w:r>
        <w:t xml:space="preserve">Issuing Authority: Houston Independent School District (HISD), United States Houston</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Houston Independent School District</w:t>
      </w:r>
    </w:p>
    <w:p>
      <w:pPr>
        <w:pStyle w:val="BodyText"/>
      </w:pPr>
      <w:r>
        <w:rPr>
          <w:bCs/>
          <w:b/>
        </w:rPr>
        <w:t xml:space="preserve">Address:</w:t>
      </w:r>
      <w:r>
        <w:t xml:space="preserve"> </w:t>
      </w:r>
      <w:r>
        <w:t xml:space="preserve">1100 McKinney Street, Houston, Texas 77002, United States</w:t>
      </w:r>
    </w:p>
    <w:p>
      <w:pPr>
        <w:pStyle w:val="BodyText"/>
      </w:pPr>
      <w:r>
        <w:rPr>
          <w:bCs/>
          <w:b/>
        </w:rPr>
        <w:t xml:space="preserve">Contact:</w:t>
      </w:r>
      <w:r>
        <w:t xml:space="preserve"> </w:t>
      </w:r>
      <w:r>
        <w:t xml:space="preserve">Procurement Division, Office of the Superintendent</w:t>
      </w:r>
    </w:p>
    <w:p>
      <w:pPr>
        <w:pStyle w:val="BodyText"/>
      </w:pPr>
      <w:r>
        <w:rPr>
          <w:bCs/>
          <w:b/>
        </w:rPr>
        <w:t xml:space="preserve">Phone:</w:t>
      </w:r>
      <w:r>
        <w:t xml:space="preserve"> </w:t>
      </w:r>
      <w:r>
        <w:t xml:space="preserve">(713) 799-1000</w:t>
      </w:r>
    </w:p>
    <w:p>
      <w:pPr>
        <w:pStyle w:val="BodyText"/>
      </w:pPr>
      <w:r>
        <w:rPr>
          <w:bCs/>
          <w:b/>
        </w:rPr>
        <w:t xml:space="preserve">Email:</w:t>
      </w:r>
      <w:r>
        <w:t xml:space="preserve"> </w:t>
      </w:r>
      <w:r>
        <w:t xml:space="preserve">procurement@hisd.org</w:t>
      </w:r>
    </w:p>
    <w:p>
      <w:pPr>
        <w:pStyle w:val="BodyText"/>
      </w:pPr>
      <w:r>
        <w:rPr>
          <w:bCs/>
          <w:b/>
        </w:rPr>
        <w:t xml:space="preserve">Tax ID (EIN):</w:t>
      </w:r>
      <w:r>
        <w:t xml:space="preserve"> </w:t>
      </w:r>
      <w:r>
        <w:t xml:space="preserve">74-0528193</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EducateTexas Secondary Staffing Solutions, LLC</w:t>
      </w:r>
    </w:p>
    <w:p>
      <w:pPr>
        <w:pStyle w:val="BodyText"/>
      </w:pPr>
      <w:r>
        <w:rPr>
          <w:bCs/>
          <w:b/>
        </w:rPr>
        <w:t xml:space="preserve">Address:</w:t>
      </w:r>
      <w:r>
        <w:t xml:space="preserve"> </w:t>
      </w:r>
      <w:r>
        <w:t xml:space="preserve">4200 Westheimer Road, Suite 310, Houston, Texas 77027, United States</w:t>
      </w:r>
    </w:p>
    <w:p>
      <w:pPr>
        <w:pStyle w:val="BodyText"/>
      </w:pPr>
      <w:r>
        <w:rPr>
          <w:bCs/>
          <w:b/>
        </w:rPr>
        <w:t xml:space="preserve">Contact:</w:t>
      </w:r>
      <w:r>
        <w:t xml:space="preserve"> </w:t>
      </w:r>
      <w:r>
        <w:t xml:space="preserve">Ms. Patricia L. Whitmore, Director of Placement</w:t>
      </w:r>
    </w:p>
    <w:p>
      <w:pPr>
        <w:pStyle w:val="BodyText"/>
      </w:pPr>
      <w:r>
        <w:rPr>
          <w:bCs/>
          <w:b/>
        </w:rPr>
        <w:t xml:space="preserve">Phone:</w:t>
      </w:r>
      <w:r>
        <w:t xml:space="preserve"> </w:t>
      </w:r>
      <w:r>
        <w:t xml:space="preserve">(713) 555-8842</w:t>
      </w:r>
    </w:p>
    <w:p>
      <w:pPr>
        <w:pStyle w:val="BodyText"/>
      </w:pPr>
      <w:r>
        <w:rPr>
          <w:bCs/>
          <w:b/>
        </w:rPr>
        <w:t xml:space="preserve">Email:</w:t>
      </w:r>
      <w:r>
        <w:t xml:space="preserve"> </w:t>
      </w:r>
      <w:r>
        <w:t xml:space="preserve">p.whitmore@educatetexas.com</w:t>
      </w:r>
    </w:p>
    <w:p>
      <w:pPr>
        <w:pStyle w:val="BodyText"/>
      </w:pPr>
      <w:r>
        <w:rPr>
          <w:bCs/>
          <w:b/>
        </w:rPr>
        <w:t xml:space="preserve">Tax ID (EIN):</w:t>
      </w:r>
      <w:r>
        <w:t xml:space="preserve"> </w:t>
      </w:r>
      <w:r>
        <w:t xml:space="preserve">82-4471905</w:t>
      </w:r>
    </w:p>
    <w:bookmarkEnd w:id="22"/>
    <w:bookmarkEnd w:id="23"/>
    <w:bookmarkStart w:id="24"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the Houston Independent School District to procure qualified</w:t>
      </w:r>
      <w:r>
        <w:t xml:space="preserve"> </w:t>
      </w:r>
      <w:r>
        <w:t xml:space="preserve">Teacher Secondary</w:t>
      </w:r>
      <w:r>
        <w:t xml:space="preserve"> </w:t>
      </w:r>
      <w:r>
        <w:t xml:space="preserve">personnel and associated educational services for the 2025–2026 academic year. The scope of this procurement encompasses the recruitment, placement, onboarding, and ongoing professional development support for certified secondary-level educators across multiple campuses within the Houston, Texas metropolitan area. All</w:t>
      </w:r>
      <w:r>
        <w:t xml:space="preserve"> </w:t>
      </w:r>
      <w:r>
        <w:t xml:space="preserve">Teacher Secondary</w:t>
      </w:r>
      <w:r>
        <w:t xml:space="preserve"> </w:t>
      </w:r>
      <w:r>
        <w:t xml:space="preserve">candidates must hold a valid Texas State Board for Educator Certification (SBEC) license at the secondary level (grades 7–12) and demonstrate subject-matter expertise in the disciplines specified below.</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Teacher Secondary – Mathematics (Grades 9–12), Full-Time Annual Placement</w:t>
            </w:r>
          </w:p>
        </w:tc>
        <w:tc>
          <w:tcPr/>
          <w:p>
            <w:pPr>
              <w:pStyle w:val="Compact"/>
              <w:jc w:val="left"/>
            </w:pPr>
            <w:r>
              <w:t xml:space="preserve">24</w:t>
            </w:r>
          </w:p>
        </w:tc>
        <w:tc>
          <w:tcPr/>
          <w:p>
            <w:pPr>
              <w:pStyle w:val="Compact"/>
              <w:jc w:val="left"/>
            </w:pPr>
            <w:r>
              <w:t xml:space="preserve">$68,500.00</w:t>
            </w:r>
          </w:p>
        </w:tc>
        <w:tc>
          <w:tcPr/>
          <w:p>
            <w:pPr>
              <w:pStyle w:val="Compact"/>
              <w:jc w:val="left"/>
            </w:pPr>
            <w:r>
              <w:t xml:space="preserve">$1,644,000.00</w:t>
            </w:r>
          </w:p>
        </w:tc>
      </w:tr>
      <w:tr>
        <w:tc>
          <w:tcPr/>
          <w:p>
            <w:pPr>
              <w:pStyle w:val="Compact"/>
              <w:jc w:val="left"/>
            </w:pPr>
            <w:r>
              <w:t xml:space="preserve">02</w:t>
            </w:r>
          </w:p>
        </w:tc>
        <w:tc>
          <w:tcPr/>
          <w:p>
            <w:pPr>
              <w:pStyle w:val="Compact"/>
              <w:jc w:val="left"/>
            </w:pPr>
            <w:r>
              <w:t xml:space="preserve">Teacher Secondary – English Language Arts (Grades 9–12), Full-Time Annual Placement</w:t>
            </w:r>
          </w:p>
        </w:tc>
        <w:tc>
          <w:tcPr/>
          <w:p>
            <w:pPr>
              <w:pStyle w:val="Compact"/>
              <w:jc w:val="left"/>
            </w:pPr>
            <w:r>
              <w:t xml:space="preserve">30</w:t>
            </w:r>
          </w:p>
        </w:tc>
        <w:tc>
          <w:tcPr/>
          <w:p>
            <w:pPr>
              <w:pStyle w:val="Compact"/>
              <w:jc w:val="left"/>
            </w:pPr>
            <w:r>
              <w:t xml:space="preserve">$66,200.00</w:t>
            </w:r>
          </w:p>
        </w:tc>
        <w:tc>
          <w:tcPr/>
          <w:p>
            <w:pPr>
              <w:pStyle w:val="Compact"/>
              <w:jc w:val="left"/>
            </w:pPr>
            <w:r>
              <w:t xml:space="preserve">$1,986,000.00</w:t>
            </w:r>
          </w:p>
        </w:tc>
      </w:tr>
      <w:tr>
        <w:tc>
          <w:tcPr/>
          <w:p>
            <w:pPr>
              <w:pStyle w:val="Compact"/>
              <w:jc w:val="left"/>
            </w:pPr>
            <w:r>
              <w:t xml:space="preserve">03</w:t>
            </w:r>
          </w:p>
        </w:tc>
        <w:tc>
          <w:tcPr/>
          <w:p>
            <w:pPr>
              <w:pStyle w:val="Compact"/>
              <w:jc w:val="left"/>
            </w:pPr>
            <w:r>
              <w:t xml:space="preserve">Teacher Secondary – Science (Biology, Chemistry, Physics), Full-Time Annual Placement</w:t>
            </w:r>
          </w:p>
        </w:tc>
        <w:tc>
          <w:tcPr/>
          <w:p>
            <w:pPr>
              <w:pStyle w:val="Compact"/>
              <w:jc w:val="left"/>
            </w:pPr>
            <w:r>
              <w:t xml:space="preserve">28</w:t>
            </w:r>
          </w:p>
        </w:tc>
        <w:tc>
          <w:tcPr/>
          <w:p>
            <w:pPr>
              <w:pStyle w:val="Compact"/>
              <w:jc w:val="left"/>
            </w:pPr>
            <w:r>
              <w:t xml:space="preserve">$71,800.00</w:t>
            </w:r>
          </w:p>
        </w:tc>
        <w:tc>
          <w:tcPr/>
          <w:p>
            <w:pPr>
              <w:pStyle w:val="Compact"/>
              <w:jc w:val="left"/>
            </w:pPr>
            <w:r>
              <w:t xml:space="preserve">$2,010,400.00</w:t>
            </w:r>
          </w:p>
        </w:tc>
      </w:tr>
      <w:tr>
        <w:tc>
          <w:tcPr/>
          <w:p>
            <w:pPr>
              <w:pStyle w:val="Compact"/>
              <w:jc w:val="left"/>
            </w:pPr>
            <w:r>
              <w:t xml:space="preserve">04</w:t>
            </w:r>
          </w:p>
        </w:tc>
        <w:tc>
          <w:tcPr/>
          <w:p>
            <w:pPr>
              <w:pStyle w:val="Compact"/>
              <w:jc w:val="left"/>
            </w:pPr>
            <w:r>
              <w:t xml:space="preserve">Teacher Secondary – Social Studies &amp; History, Full-Time Annual Placement</w:t>
            </w:r>
          </w:p>
        </w:tc>
        <w:tc>
          <w:tcPr/>
          <w:p>
            <w:pPr>
              <w:pStyle w:val="Compact"/>
              <w:jc w:val="left"/>
            </w:pPr>
            <w:r>
              <w:t xml:space="preserve">18</w:t>
            </w:r>
          </w:p>
        </w:tc>
        <w:tc>
          <w:tcPr/>
          <w:p>
            <w:pPr>
              <w:pStyle w:val="Compact"/>
              <w:jc w:val="left"/>
            </w:pPr>
            <w:r>
              <w:t xml:space="preserve">$64,900.00</w:t>
            </w:r>
          </w:p>
        </w:tc>
        <w:tc>
          <w:tcPr/>
          <w:p>
            <w:pPr>
              <w:pStyle w:val="Compact"/>
              <w:jc w:val="left"/>
            </w:pPr>
            <w:r>
              <w:t xml:space="preserve">$1,168,200.00</w:t>
            </w:r>
          </w:p>
        </w:tc>
      </w:tr>
      <w:tr>
        <w:tc>
          <w:tcPr/>
          <w:p>
            <w:pPr>
              <w:pStyle w:val="Compact"/>
              <w:jc w:val="left"/>
            </w:pPr>
            <w:r>
              <w:t xml:space="preserve">05</w:t>
            </w:r>
          </w:p>
        </w:tc>
        <w:tc>
          <w:tcPr/>
          <w:p>
            <w:pPr>
              <w:pStyle w:val="Compact"/>
              <w:jc w:val="left"/>
            </w:pPr>
            <w:r>
              <w:t xml:space="preserve">Teacher Secondary – Foreign Languages (Spanish, French, Mandarin), Full-Time Annual Placement</w:t>
            </w:r>
          </w:p>
        </w:tc>
        <w:tc>
          <w:tcPr/>
          <w:p>
            <w:pPr>
              <w:pStyle w:val="Compact"/>
              <w:jc w:val="left"/>
            </w:pPr>
            <w:r>
              <w:t xml:space="preserve">12</w:t>
            </w:r>
          </w:p>
        </w:tc>
        <w:tc>
          <w:tcPr/>
          <w:p>
            <w:pPr>
              <w:pStyle w:val="Compact"/>
              <w:jc w:val="left"/>
            </w:pPr>
            <w:r>
              <w:t xml:space="preserve">$67,300.00</w:t>
            </w:r>
          </w:p>
        </w:tc>
        <w:tc>
          <w:tcPr/>
          <w:p>
            <w:pPr>
              <w:pStyle w:val="Compact"/>
              <w:jc w:val="left"/>
            </w:pPr>
            <w:r>
              <w:t xml:space="preserve">$807,600.00</w:t>
            </w:r>
          </w:p>
        </w:tc>
      </w:tr>
      <w:tr>
        <w:tc>
          <w:tcPr/>
          <w:p>
            <w:pPr>
              <w:pStyle w:val="Compact"/>
              <w:jc w:val="left"/>
            </w:pPr>
            <w:r>
              <w:t xml:space="preserve">06</w:t>
            </w:r>
          </w:p>
        </w:tc>
        <w:tc>
          <w:tcPr/>
          <w:p>
            <w:pPr>
              <w:pStyle w:val="Compact"/>
              <w:jc w:val="left"/>
            </w:pPr>
            <w:r>
              <w:t xml:space="preserve">Teacher Secondary – Special Education (Secondary), Full-Time Annual Placement</w:t>
            </w:r>
          </w:p>
        </w:tc>
        <w:tc>
          <w:tcPr/>
          <w:p>
            <w:pPr>
              <w:pStyle w:val="Compact"/>
              <w:jc w:val="left"/>
            </w:pPr>
            <w:r>
              <w:t xml:space="preserve">15</w:t>
            </w:r>
          </w:p>
        </w:tc>
        <w:tc>
          <w:tcPr/>
          <w:p>
            <w:pPr>
              <w:pStyle w:val="Compact"/>
              <w:jc w:val="left"/>
            </w:pPr>
            <w:r>
              <w:t xml:space="preserve">$74,600.00</w:t>
            </w:r>
          </w:p>
        </w:tc>
        <w:tc>
          <w:tcPr/>
          <w:p>
            <w:pPr>
              <w:pStyle w:val="Compact"/>
              <w:jc w:val="left"/>
            </w:pPr>
            <w:r>
              <w:t xml:space="preserve">$1,119,000.00</w:t>
            </w:r>
          </w:p>
        </w:tc>
      </w:tr>
      <w:tr>
        <w:tc>
          <w:tcPr/>
          <w:p>
            <w:pPr>
              <w:pStyle w:val="Compact"/>
              <w:jc w:val="left"/>
            </w:pPr>
            <w:r>
              <w:t xml:space="preserve">07</w:t>
            </w:r>
          </w:p>
        </w:tc>
        <w:tc>
          <w:tcPr/>
          <w:p>
            <w:pPr>
              <w:pStyle w:val="Compact"/>
              <w:jc w:val="left"/>
            </w:pPr>
            <w:r>
              <w:t xml:space="preserve">Teacher Secondary – Career &amp; Technical Education (Secondary), Full-Time Annual Placement</w:t>
            </w:r>
          </w:p>
        </w:tc>
        <w:tc>
          <w:tcPr/>
          <w:p>
            <w:pPr>
              <w:pStyle w:val="Compact"/>
              <w:jc w:val="left"/>
            </w:pPr>
            <w:r>
              <w:t xml:space="preserve">10</w:t>
            </w:r>
          </w:p>
        </w:tc>
        <w:tc>
          <w:tcPr/>
          <w:p>
            <w:pPr>
              <w:pStyle w:val="Compact"/>
              <w:jc w:val="left"/>
            </w:pPr>
            <w:r>
              <w:t xml:space="preserve">$72,100.00</w:t>
            </w:r>
          </w:p>
        </w:tc>
        <w:tc>
          <w:tcPr/>
          <w:p>
            <w:pPr>
              <w:pStyle w:val="Compact"/>
              <w:jc w:val="left"/>
            </w:pPr>
            <w:r>
              <w:t xml:space="preserve">$721,000.00</w:t>
            </w:r>
          </w:p>
        </w:tc>
      </w:tr>
      <w:tr>
        <w:tc>
          <w:tcPr/>
          <w:p>
            <w:pPr>
              <w:pStyle w:val="Compact"/>
              <w:jc w:val="left"/>
            </w:pPr>
            <w:r>
              <w:t xml:space="preserve">08</w:t>
            </w:r>
          </w:p>
        </w:tc>
        <w:tc>
          <w:tcPr/>
          <w:p>
            <w:pPr>
              <w:pStyle w:val="Compact"/>
              <w:jc w:val="left"/>
            </w:pPr>
            <w:r>
              <w:t xml:space="preserve">Professional Development &amp; Onboarding Program for All Teacher Secondary Staff</w:t>
            </w:r>
          </w:p>
        </w:tc>
        <w:tc>
          <w:tcPr/>
          <w:p>
            <w:pPr>
              <w:pStyle w:val="Compact"/>
              <w:jc w:val="left"/>
            </w:pPr>
            <w:r>
              <w:t xml:space="preserve">1 (package)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09</w:t>
            </w:r>
          </w:p>
        </w:tc>
        <w:tc>
          <w:tcPr/>
          <w:p>
            <w:pPr>
              <w:pStyle w:val="Compact"/>
              <w:jc w:val="left"/>
            </w:pPr>
            <w:r>
              <w:t xml:space="preserve">Background Check, Fingerprinting &amp; Compliance Processing (Houston, TX jurisdiction)</w:t>
            </w:r>
          </w:p>
        </w:tc>
        <w:tc>
          <w:tcPr/>
          <w:p>
            <w:pPr>
              <w:pStyle w:val="Compact"/>
              <w:jc w:val="left"/>
            </w:pPr>
            <w:r>
              <w:t xml:space="preserve">137</w:t>
            </w:r>
          </w:p>
        </w:tc>
        <w:tc>
          <w:tcPr/>
          <w:p>
            <w:pPr>
              <w:pStyle w:val="Compact"/>
              <w:jc w:val="left"/>
            </w:pPr>
            <w:r>
              <w:t xml:space="preserve">$145.00</w:t>
            </w:r>
          </w:p>
        </w:tc>
        <w:tc>
          <w:tcPr/>
          <w:p>
            <w:pPr>
              <w:pStyle w:val="Compact"/>
              <w:jc w:val="left"/>
            </w:pPr>
            <w:r>
              <w:t xml:space="preserve">$19,865.00</w:t>
            </w:r>
          </w:p>
        </w:tc>
      </w:tr>
      <w:tr>
        <w:tc>
          <w:tcPr>
            <w:gridSpan w:val="4"/>
          </w:tcPr>
          <w:p>
            <w:pPr>
              <w:pStyle w:val="Compact"/>
              <w:jc w:val="left"/>
            </w:pPr>
            <w:r>
              <w:t xml:space="preserve">TOTAL PURCHASE ORDER VALUE</w:t>
            </w:r>
          </w:p>
        </w:tc>
        <w:tc>
          <w:tcPr/>
          <w:p>
            <w:pPr>
              <w:pStyle w:val="Compact"/>
              <w:jc w:val="left"/>
            </w:pPr>
            <w:r>
              <w:t xml:space="preserve">$9,661,065.00</w:t>
            </w:r>
          </w:p>
        </w:tc>
      </w:tr>
    </w:tbl>
    <w:bookmarkEnd w:id="25"/>
    <w:bookmarkStart w:id="26" w:name="delivery-and-performance-schedule"/>
    <w:p>
      <w:pPr>
        <w:pStyle w:val="Heading2"/>
      </w:pPr>
      <w:r>
        <w:t xml:space="preserve">4. Delivery and Performance Schedule</w:t>
      </w:r>
    </w:p>
    <w:p>
      <w:pPr>
        <w:pStyle w:val="FirstParagraph"/>
      </w:pPr>
      <w:r>
        <w:t xml:space="preserve">All</w:t>
      </w:r>
      <w:r>
        <w:t xml:space="preserve"> </w:t>
      </w:r>
      <w:r>
        <w:t xml:space="preserve">Teacher Secondary</w:t>
      </w:r>
      <w:r>
        <w:t xml:space="preserve"> </w:t>
      </w:r>
      <w:r>
        <w:t xml:space="preserve">placements under this</w:t>
      </w:r>
      <w:r>
        <w:t xml:space="preserve"> </w:t>
      </w:r>
      <w:r>
        <w:t xml:space="preserve">Purchase Order</w:t>
      </w:r>
      <w:r>
        <w:t xml:space="preserve"> </w:t>
      </w:r>
      <w:r>
        <w:t xml:space="preserve">shall be completed no later than August 15, 2025, to ensure readiness for the first day of the 2025–2026 school year. The supplier shall deliver a confirmed roster of all placed educators, complete with certification documentation, to the HISD Human Resources Office located in Houston, Texas, no fewer than ten (10) business days prior to the start of instruction. Ongoing replacement services for any</w:t>
      </w:r>
      <w:r>
        <w:t xml:space="preserve"> </w:t>
      </w:r>
      <w:r>
        <w:t xml:space="preserve">Teacher Secondary</w:t>
      </w:r>
      <w:r>
        <w:t xml:space="preserve"> </w:t>
      </w:r>
      <w:r>
        <w:t xml:space="preserve">position vacated during the academic year shall be fulfilled within fifteen (15) calendar days of written notice from the District.</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quarterly installments, due net thirty (30) days from the date of invoice. The first installment of 25% shall be due upon successful completion of all</w:t>
      </w:r>
      <w:r>
        <w:t xml:space="preserve"> </w:t>
      </w:r>
      <w:r>
        <w:t xml:space="preserve">Teacher Secondary</w:t>
      </w:r>
      <w:r>
        <w:t xml:space="preserve"> </w:t>
      </w:r>
      <w:r>
        <w:t xml:space="preserve">placements and verification of credentials. Subsequent quarterly payments of 25% each shall be due at the end of each fiscal quarter. The supplier shall submit invoices to the HISD Accounts Payable Department in Houston, Texas, referencing this Purchase Order number (HSD-2025-04872) on all correspondence. Late payments shall accrue interest at a rate of 1.5% per month, in accordance with Texas Government Code Chapter 2258. All payments shall be processed via electronic funds transfer (EFT) to the supplier's designated bank account in the United States.</w:t>
      </w:r>
    </w:p>
    <w:bookmarkEnd w:id="27"/>
    <w:bookmarkStart w:id="28" w:name="terms-and-conditions"/>
    <w:p>
      <w:pPr>
        <w:pStyle w:val="Heading2"/>
      </w:pPr>
      <w:r>
        <w:t xml:space="preserve">6. Terms and Conditions</w:t>
      </w:r>
    </w:p>
    <w:p>
      <w:pPr>
        <w:pStyle w:val="FirstParagraph"/>
      </w:pPr>
      <w:r>
        <w:rPr>
          <w:bCs/>
          <w:b/>
        </w:rPr>
        <w:t xml:space="preserve">6.1 Compliance:</w:t>
      </w:r>
      <w:r>
        <w:t xml:space="preserve"> </w:t>
      </w:r>
      <w:r>
        <w:t xml:space="preserve">All</w:t>
      </w:r>
      <w:r>
        <w:t xml:space="preserve"> </w:t>
      </w:r>
      <w:r>
        <w:t xml:space="preserve">Teacher Secondary</w:t>
      </w:r>
      <w:r>
        <w:t xml:space="preserve"> </w:t>
      </w:r>
      <w:r>
        <w:t xml:space="preserve">personnel placed under this</w:t>
      </w:r>
      <w:r>
        <w:t xml:space="preserve"> </w:t>
      </w:r>
      <w:r>
        <w:t xml:space="preserve">Purchase Order</w:t>
      </w:r>
      <w:r>
        <w:t xml:space="preserve"> </w:t>
      </w:r>
      <w:r>
        <w:t xml:space="preserve">must comply with all applicable federal, state, and local regulations governing secondary education in the State of Texas and the City of Houston. This includes adherence to Texas Education Code, HISD Board Policies, and all anti-discrimination statutes.</w:t>
      </w:r>
    </w:p>
    <w:p>
      <w:pPr>
        <w:pStyle w:val="BodyText"/>
      </w:pPr>
      <w:r>
        <w:rPr>
          <w:bCs/>
          <w:b/>
        </w:rPr>
        <w:t xml:space="preserve">6.2 Certification:</w:t>
      </w:r>
      <w:r>
        <w:t xml:space="preserve"> </w:t>
      </w:r>
      <w:r>
        <w:t xml:space="preserve">Each</w:t>
      </w:r>
      <w:r>
        <w:t xml:space="preserve"> </w:t>
      </w:r>
      <w:r>
        <w:t xml:space="preserve">Teacher Secondary</w:t>
      </w:r>
      <w:r>
        <w:t xml:space="preserve"> </w:t>
      </w:r>
      <w:r>
        <w:t xml:space="preserve">candidate must possess an active, unrestricted SBEC certification. The supplier warrants that all certifications will be verified through the Texas Education Agency prior to placement.</w:t>
      </w:r>
    </w:p>
    <w:p>
      <w:pPr>
        <w:pStyle w:val="BodyText"/>
      </w:pPr>
      <w:r>
        <w:rPr>
          <w:bCs/>
          <w:b/>
        </w:rPr>
        <w:t xml:space="preserve">6.3 Background Checks:</w:t>
      </w:r>
      <w:r>
        <w:t xml:space="preserve"> </w:t>
      </w:r>
      <w:r>
        <w:t xml:space="preserve">In accordance with Houston, Texas municipal requirements and Texas state law, all</w:t>
      </w:r>
      <w:r>
        <w:t xml:space="preserve"> </w:t>
      </w:r>
      <w:r>
        <w:t xml:space="preserve">Teacher Secondary</w:t>
      </w:r>
      <w:r>
        <w:t xml:space="preserve"> </w:t>
      </w:r>
      <w:r>
        <w:t xml:space="preserve">candidates shall undergo a comprehensive criminal background check, fingerprint-based national database search, and sex offender registry screening prior to commencing duties at any HISD campus.</w:t>
      </w:r>
    </w:p>
    <w:p>
      <w:pPr>
        <w:pStyle w:val="BodyText"/>
      </w:pPr>
      <w:r>
        <w:rPr>
          <w:bCs/>
          <w:b/>
        </w:rPr>
        <w:t xml:space="preserve">6.4 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supplier shall provide a transition plan for all affected</w:t>
      </w:r>
      <w:r>
        <w:t xml:space="preserve"> </w:t>
      </w:r>
      <w:r>
        <w:t xml:space="preserve">Teacher Secondary</w:t>
      </w:r>
      <w:r>
        <w:t xml:space="preserve"> </w:t>
      </w:r>
      <w:r>
        <w:t xml:space="preserve">positions to ensure continuity of instruction for students in Houston, Texas.</w:t>
      </w:r>
    </w:p>
    <w:p>
      <w:pPr>
        <w:pStyle w:val="BodyText"/>
      </w:pPr>
      <w:r>
        <w:rPr>
          <w:bCs/>
          <w:b/>
        </w:rPr>
        <w:t xml:space="preserve">6.5 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Texas and the United States of America. Any disputes arising hereunder shall be resolved in the courts of Harris County, Houston, Texas.</w:t>
      </w:r>
    </w:p>
    <w:p>
      <w:pPr>
        <w:pStyle w:val="BodyText"/>
      </w:pPr>
      <w:r>
        <w:rPr>
          <w:bCs/>
          <w:b/>
        </w:rPr>
        <w:t xml:space="preserve">6.6 Insurance:</w:t>
      </w:r>
      <w:r>
        <w:t xml:space="preserve"> </w:t>
      </w:r>
      <w:r>
        <w:t xml:space="preserve">The supplier shall maintain general liability insurance of no less than $2,000,000 per occurrence and professional liability (errors and omissions) insurance of no less than $1,000,000, with the HISD named as an additional insured.</w:t>
      </w:r>
    </w:p>
    <w:p>
      <w:pPr>
        <w:pStyle w:val="BodyText"/>
      </w:pPr>
      <w:r>
        <w:rPr>
          <w:bCs/>
          <w:b/>
        </w:rPr>
        <w:t xml:space="preserve">6.7 Non-Compete and Confidentiality:</w:t>
      </w:r>
      <w:r>
        <w:t xml:space="preserve"> </w:t>
      </w:r>
      <w:r>
        <w:t xml:space="preserve">The supplier agrees to maintain confidentiality of all student records, personnel files, and proprietary HISD data encountered during the performance of this</w:t>
      </w:r>
      <w:r>
        <w:t xml:space="preserve"> </w:t>
      </w:r>
      <w:r>
        <w:t xml:space="preserve">Purchase Order</w:t>
      </w:r>
      <w:r>
        <w:t xml:space="preserve">.</w:t>
      </w:r>
    </w:p>
    <w:bookmarkEnd w:id="28"/>
    <w:bookmarkStart w:id="29" w:name="authorized-signatures"/>
    <w:p>
      <w:pPr>
        <w:pStyle w:val="Heading2"/>
      </w:pPr>
      <w:r>
        <w:t xml:space="preserve">7. Authorized Signatures</w:t>
      </w:r>
    </w:p>
    <w:p>
      <w:pPr>
        <w:pStyle w:val="FirstParagraph"/>
      </w:pPr>
      <w:r>
        <w:rPr>
          <w:bCs/>
          <w:b/>
        </w:rPr>
        <w:t xml:space="preserve">For the Buyer:</w:t>
      </w:r>
    </w:p>
    <w:p>
      <w:pPr>
        <w:pStyle w:val="BodyText"/>
      </w:pPr>
      <w:r>
        <w:t xml:space="preserve">Dr. Marcus T. Ellison</w:t>
      </w:r>
    </w:p>
    <w:p>
      <w:pPr>
        <w:pStyle w:val="BodyText"/>
      </w:pPr>
      <w:r>
        <w:t xml:space="preserve">Superintendent, Houston Independent School District</w:t>
      </w:r>
    </w:p>
    <w:p>
      <w:pPr>
        <w:pStyle w:val="BodyText"/>
      </w:pPr>
      <w:r>
        <w:t xml:space="preserve">Date: ____________________</w:t>
      </w:r>
    </w:p>
    <w:p>
      <w:pPr>
        <w:pStyle w:val="BodyText"/>
      </w:pPr>
      <w:r>
        <w:rPr>
          <w:bCs/>
          <w:b/>
        </w:rPr>
        <w:t xml:space="preserve">For the Supplier:</w:t>
      </w:r>
    </w:p>
    <w:p>
      <w:pPr>
        <w:pStyle w:val="BodyText"/>
      </w:pPr>
      <w:r>
        <w:t xml:space="preserve">Patricia L. Whitmore</w:t>
      </w:r>
    </w:p>
    <w:p>
      <w:pPr>
        <w:pStyle w:val="BodyText"/>
      </w:pPr>
      <w:r>
        <w:t xml:space="preserve">Director, EducateTexas Secondary Staffing Solutions, LLC</w:t>
      </w:r>
    </w:p>
    <w:p>
      <w:pPr>
        <w:pStyle w:val="BodyText"/>
      </w:pPr>
      <w:r>
        <w:t xml:space="preserve">Date: ____________________</w:t>
      </w:r>
    </w:p>
    <w:bookmarkEnd w:id="29"/>
    <w:p>
      <w:pPr>
        <w:pStyle w:val="BodyText"/>
      </w:pPr>
      <w:r>
        <w:t xml:space="preserve">This Purchase Order (HSD-2025-04872) was issued by the Houston Independent School District, United States Houston, Texas. All</w:t>
      </w:r>
      <w:r>
        <w:t xml:space="preserve"> </w:t>
      </w:r>
      <w:r>
        <w:t xml:space="preserve">Teacher Secondary</w:t>
      </w:r>
      <w:r>
        <w:t xml:space="preserve"> </w:t>
      </w:r>
      <w:r>
        <w:t xml:space="preserve">services described herein are subject to the terms and conditions stated above. This document constitutes a binding agreement upon execution by both parties. For questions regarding this Purchase Order, contact the HISD Procurement Division at 1100 McKinney Street, Houston, TX 77002.</w:t>
      </w:r>
    </w:p>
    <w:p>
      <w:pPr>
        <w:pStyle w:val="BodyText"/>
      </w:pPr>
      <w:r>
        <w:t xml:space="preserve">Document Classification: Official Procurement Record | Retention Period: 7 Years per Texas Public Information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Houston, United States</dc:title>
  <dc:creator/>
  <dc:language>en</dc:language>
  <cp:keywords/>
  <dcterms:created xsi:type="dcterms:W3CDTF">2026-10-10T05:51:27Z</dcterms:created>
  <dcterms:modified xsi:type="dcterms:W3CDTF">2026-10-10T05:51:27Z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