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Translator Interpreter Services — Algeria Algiers</w:t>
      </w:r>
    </w:p>
    <w:p>
      <w:pPr>
        <w:pStyle w:val="BodyText"/>
      </w:pPr>
      <w:r>
        <w:t xml:space="preserve">PO No. ALG-2025-04872</w:t>
      </w:r>
    </w:p>
    <w:p>
      <w:pPr>
        <w:pStyle w:val="BodyText"/>
      </w:pPr>
      <w:r>
        <w:t xml:space="preserve">Date of Issue: June 12, 2025  |  Valid Until: July 12, 2025</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Sahara International Trade &amp; Logistics S.A.R.L.</w:t>
            </w:r>
          </w:p>
        </w:tc>
      </w:tr>
      <w:tr>
        <w:tc>
          <w:tcPr/>
          <w:p>
            <w:pPr>
              <w:pStyle w:val="Compact"/>
              <w:jc w:val="left"/>
            </w:pPr>
            <w:r>
              <w:t xml:space="preserve">Address</w:t>
            </w:r>
          </w:p>
        </w:tc>
        <w:tc>
          <w:tcPr/>
          <w:p>
            <w:pPr>
              <w:pStyle w:val="Compact"/>
              <w:jc w:val="left"/>
            </w:pPr>
            <w:r>
              <w:t xml:space="preserve">14, Boulevard Zighout Youcef, Hydra, 16000 Algeria Algiers</w:t>
            </w:r>
          </w:p>
        </w:tc>
      </w:tr>
      <w:tr>
        <w:tc>
          <w:tcPr/>
          <w:p>
            <w:pPr>
              <w:pStyle w:val="Compact"/>
              <w:jc w:val="left"/>
            </w:pPr>
            <w:r>
              <w:t xml:space="preserve">Contact Person</w:t>
            </w:r>
          </w:p>
        </w:tc>
        <w:tc>
          <w:tcPr/>
          <w:p>
            <w:pPr>
              <w:pStyle w:val="Compact"/>
              <w:jc w:val="left"/>
            </w:pPr>
            <w:r>
              <w:t xml:space="preserve">Mme. Nadia Benali — Procurement Director</w:t>
            </w:r>
          </w:p>
        </w:tc>
      </w:tr>
      <w:tr>
        <w:tc>
          <w:tcPr/>
          <w:p>
            <w:pPr>
              <w:pStyle w:val="Compact"/>
              <w:jc w:val="left"/>
            </w:pPr>
            <w:r>
              <w:t xml:space="preserve">Phone / Email</w:t>
            </w:r>
          </w:p>
        </w:tc>
        <w:tc>
          <w:tcPr/>
          <w:p>
            <w:pPr>
              <w:pStyle w:val="Compact"/>
              <w:jc w:val="left"/>
            </w:pPr>
            <w:r>
              <w:t xml:space="preserve">+213 21 23 45 67  |  procurement@sahara-intl.dz</w:t>
            </w:r>
          </w:p>
        </w:tc>
      </w:tr>
      <w:tr>
        <w:tc>
          <w:tcPr/>
          <w:p>
            <w:pPr>
              <w:pStyle w:val="Compact"/>
              <w:jc w:val="left"/>
            </w:pPr>
            <w:r>
              <w:t xml:space="preserve">Tax Identification (NIF)</w:t>
            </w:r>
          </w:p>
        </w:tc>
        <w:tc>
          <w:tcPr/>
          <w:p>
            <w:pPr>
              <w:pStyle w:val="Compact"/>
              <w:jc w:val="left"/>
            </w:pPr>
            <w:r>
              <w:t xml:space="preserve">002516000487215</w:t>
            </w:r>
          </w:p>
        </w:tc>
      </w:tr>
    </w:tbl>
    <w:bookmarkEnd w:id="21"/>
    <w:bookmarkStart w:id="22" w:name="supplier-vendor"/>
    <w:p>
      <w:pPr>
        <w:pStyle w:val="Heading2"/>
      </w:pPr>
      <w:r>
        <w:t xml:space="preserve">2. Supplier (Vendor)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Algeria Algiers Professional Language Services EURL</w:t>
            </w:r>
          </w:p>
        </w:tc>
      </w:tr>
      <w:tr>
        <w:tc>
          <w:tcPr/>
          <w:p>
            <w:pPr>
              <w:pStyle w:val="Compact"/>
              <w:jc w:val="left"/>
            </w:pPr>
            <w:r>
              <w:t xml:space="preserve">Address</w:t>
            </w:r>
          </w:p>
        </w:tc>
        <w:tc>
          <w:tcPr/>
          <w:p>
            <w:pPr>
              <w:pStyle w:val="Compact"/>
              <w:jc w:val="left"/>
            </w:pPr>
            <w:r>
              <w:t xml:space="preserve">7, Rue Didouche Mourad, El Hamma, 16000 Algeria Algiers</w:t>
            </w:r>
          </w:p>
        </w:tc>
      </w:tr>
      <w:tr>
        <w:tc>
          <w:tcPr/>
          <w:p>
            <w:pPr>
              <w:pStyle w:val="Compact"/>
              <w:jc w:val="left"/>
            </w:pPr>
            <w:r>
              <w:t xml:space="preserve">Contact Person</w:t>
            </w:r>
          </w:p>
        </w:tc>
        <w:tc>
          <w:tcPr/>
          <w:p>
            <w:pPr>
              <w:pStyle w:val="Compact"/>
              <w:jc w:val="left"/>
            </w:pPr>
            <w:r>
              <w:t xml:space="preserve">M. Karim Haddad — Operations Manager</w:t>
            </w:r>
          </w:p>
        </w:tc>
      </w:tr>
      <w:tr>
        <w:tc>
          <w:tcPr/>
          <w:p>
            <w:pPr>
              <w:pStyle w:val="Compact"/>
              <w:jc w:val="left"/>
            </w:pPr>
            <w:r>
              <w:t xml:space="preserve">Phone / Email</w:t>
            </w:r>
          </w:p>
        </w:tc>
        <w:tc>
          <w:tcPr/>
          <w:p>
            <w:pPr>
              <w:pStyle w:val="Compact"/>
              <w:jc w:val="left"/>
            </w:pPr>
            <w:r>
              <w:t xml:space="preserve">+213 21 65 43 21  |  operations@aa-language.dz</w:t>
            </w:r>
          </w:p>
        </w:tc>
      </w:tr>
      <w:tr>
        <w:tc>
          <w:tcPr/>
          <w:p>
            <w:pPr>
              <w:pStyle w:val="Compact"/>
              <w:jc w:val="left"/>
            </w:pPr>
            <w:r>
              <w:t xml:space="preserve">Tax Identification (NIF)</w:t>
            </w:r>
          </w:p>
        </w:tc>
        <w:tc>
          <w:tcPr/>
          <w:p>
            <w:pPr>
              <w:pStyle w:val="Compact"/>
              <w:jc w:val="left"/>
            </w:pPr>
            <w:r>
              <w:t xml:space="preserve">002516000391542</w:t>
            </w:r>
          </w:p>
        </w:tc>
      </w:tr>
    </w:tbl>
    <w:bookmarkEnd w:id="22"/>
    <w:bookmarkStart w:id="23" w:name="X4d99f7edbbd537116109b45b6986108fac84118"/>
    <w:p>
      <w:pPr>
        <w:pStyle w:val="Heading2"/>
      </w:pPr>
      <w:r>
        <w:t xml:space="preserve">3. Description of Services — Translator Interpreter Engagement</w:t>
      </w:r>
    </w:p>
    <w:p>
      <w:pPr>
        <w:pStyle w:val="FirstParagraph"/>
      </w:pPr>
      <w:r>
        <w:t xml:space="preserve">This</w:t>
      </w:r>
      <w:r>
        <w:t xml:space="preserve"> </w:t>
      </w:r>
      <w:r>
        <w:t xml:space="preserve">Purchase Order</w:t>
      </w:r>
      <w:r>
        <w:t xml:space="preserve"> </w:t>
      </w:r>
      <w:r>
        <w:t xml:space="preserve">is issued by Sahara International Trade &amp; Logistics S.A.R.L. to formally request and authorize the procurement of professional</w:t>
      </w:r>
      <w:r>
        <w:t xml:space="preserve"> </w:t>
      </w:r>
      <w:r>
        <w:t xml:space="preserve">Translator Interpreter</w:t>
      </w:r>
      <w:r>
        <w:t xml:space="preserve"> </w:t>
      </w:r>
      <w:r>
        <w:t xml:space="preserve">services to be rendered on-site in</w:t>
      </w:r>
      <w:r>
        <w:t xml:space="preserve"> </w:t>
      </w:r>
      <w:r>
        <w:t xml:space="preserve">Algeria Algiers</w:t>
      </w:r>
      <w:r>
        <w:t xml:space="preserve">. The engagement covers the full spectrum of oral and written translation support required for the upcoming bilateral trade negotiations, technical equipment inspections, and regulatory compliance meetings scheduled between June 20 and July 15, 2025.</w:t>
      </w:r>
    </w:p>
    <w:p>
      <w:pPr>
        <w:pStyle w:val="BodyText"/>
      </w:pPr>
      <w:r>
        <w:t xml:space="preserve">The</w:t>
      </w:r>
      <w:r>
        <w:t xml:space="preserve"> </w:t>
      </w:r>
      <w:r>
        <w:t xml:space="preserve">Translator Interpreter</w:t>
      </w:r>
      <w:r>
        <w:t xml:space="preserve"> </w:t>
      </w:r>
      <w:r>
        <w:t xml:space="preserve">shall provide simultaneous and consecutive interpretation between Arabic (Algerian dialect and Modern Standard Arabic), French, and English. All services must be physically delivered at the buyer's headquarters located in</w:t>
      </w:r>
      <w:r>
        <w:t xml:space="preserve"> </w:t>
      </w:r>
      <w:r>
        <w:t xml:space="preserve">Algeria Algiers</w:t>
      </w:r>
      <w:r>
        <w:t xml:space="preserve">, specifically at the Hydra business district offices, unless otherwise directed in writing by the Procurement Director.</w:t>
      </w:r>
    </w:p>
    <w:p>
      <w:pPr>
        <w:pStyle w:val="BodyText"/>
      </w:pPr>
      <w:r>
        <w:t xml:space="preserve">The</w:t>
      </w:r>
      <w:r>
        <w:t xml:space="preserve"> </w:t>
      </w:r>
      <w:r>
        <w:t xml:space="preserve">Translator Interpreter</w:t>
      </w:r>
      <w:r>
        <w:t xml:space="preserve"> </w:t>
      </w:r>
      <w:r>
        <w:t xml:space="preserve">is expected to hold a minimum of five (5) years of professional experience in multilingual corporate interpretation, possess a certified degree in Translation and Interpretation from a recognized Algerian or international university, and demonstrate fluency in technical, legal, and commercial terminology relevant to the energy, logistics, and manufacturing sectors.</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Simultaneous Interpretation — Arabic/French/English (Bilateral Trade Negotiations, Algeria Algiers)</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02</w:t>
            </w:r>
          </w:p>
        </w:tc>
        <w:tc>
          <w:tcPr/>
          <w:p>
            <w:pPr>
              <w:pStyle w:val="Compact"/>
              <w:jc w:val="left"/>
            </w:pPr>
            <w:r>
              <w:t xml:space="preserve">Consecutive Interpretation — Technical Equipment Inspection Meetings</w:t>
            </w:r>
          </w:p>
        </w:tc>
        <w:tc>
          <w:tcPr/>
          <w:p>
            <w:pPr>
              <w:pStyle w:val="Compact"/>
              <w:jc w:val="left"/>
            </w:pPr>
            <w:r>
              <w:t xml:space="preserve">8</w:t>
            </w:r>
          </w:p>
        </w:tc>
        <w:tc>
          <w:tcPr/>
          <w:p>
            <w:pPr>
              <w:pStyle w:val="Compact"/>
              <w:jc w:val="left"/>
            </w:pPr>
            <w:r>
              <w:t xml:space="preserve">Hours</w:t>
            </w:r>
          </w:p>
        </w:tc>
        <w:tc>
          <w:tcPr/>
          <w:p>
            <w:pPr>
              <w:pStyle w:val="Compact"/>
              <w:jc w:val="left"/>
            </w:pPr>
            <w:r>
              <w:t xml:space="preserve">7,200</w:t>
            </w:r>
          </w:p>
        </w:tc>
        <w:tc>
          <w:tcPr/>
          <w:p>
            <w:pPr>
              <w:pStyle w:val="Compact"/>
              <w:jc w:val="left"/>
            </w:pPr>
            <w:r>
              <w:t xml:space="preserve">57,600</w:t>
            </w:r>
          </w:p>
        </w:tc>
      </w:tr>
      <w:tr>
        <w:tc>
          <w:tcPr/>
          <w:p>
            <w:pPr>
              <w:pStyle w:val="Compact"/>
              <w:jc w:val="left"/>
            </w:pPr>
            <w:r>
              <w:t xml:space="preserve">03</w:t>
            </w:r>
          </w:p>
        </w:tc>
        <w:tc>
          <w:tcPr/>
          <w:p>
            <w:pPr>
              <w:pStyle w:val="Compact"/>
              <w:jc w:val="left"/>
            </w:pPr>
            <w:r>
              <w:t xml:space="preserve">Written Translation — Regulatory Compliance Documents (Arabic to English)</w:t>
            </w:r>
          </w:p>
        </w:tc>
        <w:tc>
          <w:tcPr/>
          <w:p>
            <w:pPr>
              <w:pStyle w:val="Compact"/>
              <w:jc w:val="left"/>
            </w:pPr>
            <w:r>
              <w:t xml:space="preserve">45</w:t>
            </w:r>
          </w:p>
        </w:tc>
        <w:tc>
          <w:tcPr/>
          <w:p>
            <w:pPr>
              <w:pStyle w:val="Compact"/>
              <w:jc w:val="left"/>
            </w:pPr>
            <w:r>
              <w:t xml:space="preserve">Pages</w:t>
            </w:r>
          </w:p>
        </w:tc>
        <w:tc>
          <w:tcPr/>
          <w:p>
            <w:pPr>
              <w:pStyle w:val="Compact"/>
              <w:jc w:val="left"/>
            </w:pPr>
            <w:r>
              <w:t xml:space="preserve">1,200</w:t>
            </w:r>
          </w:p>
        </w:tc>
        <w:tc>
          <w:tcPr/>
          <w:p>
            <w:pPr>
              <w:pStyle w:val="Compact"/>
              <w:jc w:val="left"/>
            </w:pPr>
            <w:r>
              <w:t xml:space="preserve">54,000</w:t>
            </w:r>
          </w:p>
        </w:tc>
      </w:tr>
      <w:tr>
        <w:tc>
          <w:tcPr/>
          <w:p>
            <w:pPr>
              <w:pStyle w:val="Compact"/>
              <w:jc w:val="left"/>
            </w:pPr>
            <w:r>
              <w:t xml:space="preserve">04</w:t>
            </w:r>
          </w:p>
        </w:tc>
        <w:tc>
          <w:tcPr/>
          <w:p>
            <w:pPr>
              <w:pStyle w:val="Compact"/>
              <w:jc w:val="left"/>
            </w:pPr>
            <w:r>
              <w:t xml:space="preserve">Written Translation — Commercial Contracts (French to Arabic)</w:t>
            </w:r>
          </w:p>
        </w:tc>
        <w:tc>
          <w:tcPr/>
          <w:p>
            <w:pPr>
              <w:pStyle w:val="Compact"/>
              <w:jc w:val="left"/>
            </w:pPr>
            <w:r>
              <w:t xml:space="preserve">30</w:t>
            </w:r>
          </w:p>
        </w:tc>
        <w:tc>
          <w:tcPr/>
          <w:p>
            <w:pPr>
              <w:pStyle w:val="Compact"/>
              <w:jc w:val="left"/>
            </w:pPr>
            <w:r>
              <w:t xml:space="preserve">Pages</w:t>
            </w:r>
          </w:p>
        </w:tc>
        <w:tc>
          <w:tcPr/>
          <w:p>
            <w:pPr>
              <w:pStyle w:val="Compact"/>
              <w:jc w:val="left"/>
            </w:pPr>
            <w:r>
              <w:t xml:space="preserve">1,100</w:t>
            </w:r>
          </w:p>
        </w:tc>
        <w:tc>
          <w:tcPr/>
          <w:p>
            <w:pPr>
              <w:pStyle w:val="Compact"/>
              <w:jc w:val="left"/>
            </w:pPr>
            <w:r>
              <w:t xml:space="preserve">33,000</w:t>
            </w:r>
          </w:p>
        </w:tc>
      </w:tr>
      <w:tr>
        <w:tc>
          <w:tcPr/>
          <w:p>
            <w:pPr>
              <w:pStyle w:val="Compact"/>
              <w:jc w:val="left"/>
            </w:pPr>
            <w:r>
              <w:t xml:space="preserve">05</w:t>
            </w:r>
          </w:p>
        </w:tc>
        <w:tc>
          <w:tcPr/>
          <w:p>
            <w:pPr>
              <w:pStyle w:val="Compact"/>
              <w:jc w:val="left"/>
            </w:pPr>
            <w:r>
              <w:t xml:space="preserve">On-Site Support — Regulatory Authority Meetings in Algeria Algiers</w:t>
            </w:r>
          </w:p>
        </w:tc>
        <w:tc>
          <w:tcPr/>
          <w:p>
            <w:pPr>
              <w:pStyle w:val="Compact"/>
              <w:jc w:val="left"/>
            </w:pPr>
            <w:r>
              <w:t xml:space="preserve">6</w:t>
            </w:r>
          </w:p>
        </w:tc>
        <w:tc>
          <w:tcPr/>
          <w:p>
            <w:pPr>
              <w:pStyle w:val="Compact"/>
              <w:jc w:val="left"/>
            </w:pPr>
            <w:r>
              <w:t xml:space="preserve">Days</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Urgent After-Hours Interpretation (if required, max 4 hours)</w:t>
            </w:r>
          </w:p>
        </w:tc>
        <w:tc>
          <w:tcPr/>
          <w:p>
            <w:pPr>
              <w:pStyle w:val="Compact"/>
              <w:jc w:val="left"/>
            </w:pPr>
            <w:r>
              <w:t xml:space="preserve">4</w:t>
            </w:r>
          </w:p>
        </w:tc>
        <w:tc>
          <w:tcPr/>
          <w:p>
            <w:pPr>
              <w:pStyle w:val="Compact"/>
              <w:jc w:val="left"/>
            </w:pPr>
            <w:r>
              <w:t xml:space="preserve">Hours</w:t>
            </w:r>
          </w:p>
        </w:tc>
        <w:tc>
          <w:tcPr/>
          <w:p>
            <w:pPr>
              <w:pStyle w:val="Compact"/>
              <w:jc w:val="left"/>
            </w:pPr>
            <w:r>
              <w:t xml:space="preserve">11,000</w:t>
            </w:r>
          </w:p>
        </w:tc>
        <w:tc>
          <w:tcPr/>
          <w:p>
            <w:pPr>
              <w:pStyle w:val="Compact"/>
              <w:jc w:val="left"/>
            </w:pPr>
            <w:r>
              <w:t xml:space="preserve">44,000</w:t>
            </w:r>
          </w:p>
        </w:tc>
      </w:tr>
      <w:tr>
        <w:tc>
          <w:tcPr>
            <w:gridSpan w:val="5"/>
          </w:tcPr>
          <w:p>
            <w:pPr>
              <w:pStyle w:val="Compact"/>
              <w:jc w:val="right"/>
            </w:pPr>
            <w:r>
              <w:t xml:space="preserve">Subtotal</w:t>
            </w:r>
          </w:p>
        </w:tc>
        <w:tc>
          <w:tcPr/>
          <w:p>
            <w:pPr>
              <w:pStyle w:val="Compact"/>
              <w:jc w:val="left"/>
            </w:pPr>
            <w:r>
              <w:t xml:space="preserve">440,600</w:t>
            </w:r>
          </w:p>
        </w:tc>
      </w:tr>
      <w:tr>
        <w:tc>
          <w:tcPr>
            <w:gridSpan w:val="5"/>
          </w:tcPr>
          <w:p>
            <w:pPr>
              <w:pStyle w:val="Compact"/>
              <w:jc w:val="right"/>
            </w:pPr>
            <w:r>
              <w:t xml:space="preserve">VAT (19%)</w:t>
            </w:r>
          </w:p>
        </w:tc>
        <w:tc>
          <w:tcPr/>
          <w:p>
            <w:pPr>
              <w:pStyle w:val="Compact"/>
              <w:jc w:val="left"/>
            </w:pPr>
            <w:r>
              <w:t xml:space="preserve">83,714</w:t>
            </w:r>
          </w:p>
        </w:tc>
      </w:tr>
      <w:tr>
        <w:tc>
          <w:tcPr>
            <w:gridSpan w:val="5"/>
          </w:tcPr>
          <w:p>
            <w:pPr>
              <w:pStyle w:val="Compact"/>
              <w:jc w:val="right"/>
            </w:pPr>
            <w:r>
              <w:t xml:space="preserve">Grand Total (DZD)</w:t>
            </w:r>
          </w:p>
        </w:tc>
        <w:tc>
          <w:tcPr/>
          <w:p>
            <w:pPr>
              <w:pStyle w:val="Compact"/>
              <w:jc w:val="left"/>
            </w:pPr>
            <w:r>
              <w:t xml:space="preserve">524,314</w:t>
            </w:r>
          </w:p>
        </w:tc>
      </w:tr>
    </w:tbl>
    <w:bookmarkEnd w:id="24"/>
    <w:bookmarkStart w:id="25" w:name="delivery-performance-schedule"/>
    <w:p>
      <w:pPr>
        <w:pStyle w:val="Heading2"/>
      </w:pPr>
      <w:r>
        <w:t xml:space="preserve">5. Delivery &amp; Performance Schedule</w:t>
      </w:r>
    </w:p>
    <w:p>
      <w:pPr>
        <w:pStyle w:val="FirstParagraph"/>
      </w:pPr>
      <w:r>
        <w:t xml:space="preserve">All</w:t>
      </w:r>
      <w:r>
        <w:t xml:space="preserve"> </w:t>
      </w:r>
      <w:r>
        <w:t xml:space="preserve">Translator Interpreter</w:t>
      </w:r>
      <w:r>
        <w:t xml:space="preserve"> </w:t>
      </w:r>
      <w:r>
        <w:t xml:space="preserve">services under this</w:t>
      </w:r>
      <w:r>
        <w:t xml:space="preserve"> </w:t>
      </w:r>
      <w:r>
        <w:t xml:space="preserve">Purchase Order</w:t>
      </w:r>
      <w:r>
        <w:t xml:space="preserve"> </w:t>
      </w:r>
      <w:r>
        <w:t xml:space="preserve">shall commence on June 20, 2025, and conclude no later than July 15, 2025. The</w:t>
      </w:r>
      <w:r>
        <w:t xml:space="preserve"> </w:t>
      </w:r>
      <w:r>
        <w:t xml:space="preserve">Translator Interpreter</w:t>
      </w:r>
      <w:r>
        <w:t xml:space="preserve"> </w:t>
      </w:r>
      <w:r>
        <w:t xml:space="preserve">must be available on-site in</w:t>
      </w:r>
      <w:r>
        <w:t xml:space="preserve"> </w:t>
      </w:r>
      <w:r>
        <w:t xml:space="preserve">Algeria Algiers</w:t>
      </w:r>
      <w:r>
        <w:t xml:space="preserve"> </w:t>
      </w:r>
      <w:r>
        <w:t xml:space="preserve">from 08:00 to 18:00 (local time) on all scheduled working days. Any additional days or hours beyond the scope defined herein shall require a written amendment to this</w:t>
      </w:r>
      <w:r>
        <w:t xml:space="preserve"> </w:t>
      </w:r>
      <w:r>
        <w:t xml:space="preserve">Purchase Order</w:t>
      </w:r>
      <w:r>
        <w:t xml:space="preserve"> </w:t>
      </w:r>
      <w:r>
        <w:t xml:space="preserve">signed by both parties before services are rendered.</w:t>
      </w:r>
    </w:p>
    <w:bookmarkEnd w:id="25"/>
    <w:bookmarkStart w:id="26" w:name="payment-terms"/>
    <w:p>
      <w:pPr>
        <w:pStyle w:val="Heading2"/>
      </w:pPr>
      <w:r>
        <w:t xml:space="preserve">6. Payment Terms</w:t>
      </w:r>
    </w:p>
    <w:p>
      <w:pPr>
        <w:pStyle w:val="FirstParagraph"/>
      </w:pPr>
      <w:r>
        <w:t xml:space="preserve">Payment shall be made via bank transfer to the supplier's designated account within thirty (30) calendar days of receipt of a valid invoice and satisfactory completion of all</w:t>
      </w:r>
      <w:r>
        <w:t xml:space="preserve"> </w:t>
      </w:r>
      <w:r>
        <w:t xml:space="preserve">Translator Interpreter</w:t>
      </w:r>
      <w:r>
        <w:t xml:space="preserve"> </w:t>
      </w:r>
      <w:r>
        <w:t xml:space="preserve">services. A 10% advance payment is due upon acceptance of this</w:t>
      </w:r>
      <w:r>
        <w:t xml:space="preserve"> </w:t>
      </w:r>
      <w:r>
        <w:t xml:space="preserve">Purchase Order</w:t>
      </w:r>
      <w:r>
        <w:t xml:space="preserve">. The remaining balance shall be settled in two equal installments: 50% upon completion of the first phase (June 20 – July 5) and 50% upon final delivery and sign-off (by July 15, 2025). All payments are denominated in Algerian Dinars (DZD) and are subject to applicable withholding tax regulations in</w:t>
      </w:r>
      <w:r>
        <w:t xml:space="preserve"> </w:t>
      </w:r>
      <w:r>
        <w:t xml:space="preserve">Algeria Algiers</w:t>
      </w:r>
      <w:r>
        <w:t xml:space="preserve">.</w:t>
      </w:r>
    </w:p>
    <w:bookmarkEnd w:id="26"/>
    <w:bookmarkStart w:id="27" w:name="terms-conditions"/>
    <w:p>
      <w:pPr>
        <w:pStyle w:val="Heading2"/>
      </w:pPr>
      <w:r>
        <w:t xml:space="preserve">7. Terms &amp; Conditions</w:t>
      </w:r>
    </w:p>
    <w:p>
      <w:pPr>
        <w:numPr>
          <w:ilvl w:val="0"/>
          <w:numId w:val="1001"/>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shall sign a Non-Disclosure Agreement (NDA) prior to commencing any work. All documents, recordings, and verbal communications handled during the engagement in</w:t>
      </w:r>
      <w:r>
        <w:t xml:space="preserve"> </w:t>
      </w:r>
      <w:r>
        <w:t xml:space="preserve">Algeria Algiers</w:t>
      </w:r>
      <w:r>
        <w:t xml:space="preserve"> </w:t>
      </w:r>
      <w:r>
        <w:t xml:space="preserve">are strictly confidential and shall not be disclosed to any third party.</w:t>
      </w:r>
    </w:p>
    <w:p>
      <w:pPr>
        <w:numPr>
          <w:ilvl w:val="0"/>
          <w:numId w:val="1001"/>
        </w:numPr>
        <w:pStyle w:val="Compact"/>
      </w:pPr>
      <w:r>
        <w:rPr>
          <w:bCs/>
          <w:b/>
        </w:rPr>
        <w:t xml:space="preserve">Quality Assurance:</w:t>
      </w:r>
      <w:r>
        <w:t xml:space="preserve"> </w:t>
      </w:r>
      <w:r>
        <w:t xml:space="preserve">The buyer reserves the right to request a replacement</w:t>
      </w:r>
      <w:r>
        <w:t xml:space="preserve"> </w:t>
      </w:r>
      <w:r>
        <w:t xml:space="preserve">Translator Interpreter</w:t>
      </w:r>
      <w:r>
        <w:t xml:space="preserve"> </w:t>
      </w:r>
      <w:r>
        <w:t xml:space="preserve">within 24 hours if the quality of interpretation or translation does not meet the professional standards outlined in this</w:t>
      </w:r>
      <w:r>
        <w:t xml:space="preserve"> </w:t>
      </w:r>
      <w:r>
        <w:t xml:space="preserve">Purchase Order</w:t>
      </w:r>
      <w:r>
        <w:t xml:space="preserv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in</w:t>
      </w:r>
      <w:r>
        <w:t xml:space="preserve"> </w:t>
      </w:r>
      <w:r>
        <w:t xml:space="preserve">Algeria Algiers</w:t>
      </w:r>
      <w:r>
        <w:t xml:space="preserve">, natural disasters, or public health emergencies.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People's Democratic Republic of Algeria. Any disputes shall be resolved through the competent commercial courts of</w:t>
      </w:r>
      <w:r>
        <w:t xml:space="preserve"> </w:t>
      </w:r>
      <w:r>
        <w:t xml:space="preserve">Algeria Algiers</w:t>
      </w:r>
      <w:r>
        <w:t xml:space="preserve">.</w:t>
      </w:r>
    </w:p>
    <w:p>
      <w:pPr>
        <w:numPr>
          <w:ilvl w:val="0"/>
          <w:numId w:val="1001"/>
        </w:numPr>
        <w:pStyle w:val="Compact"/>
      </w:pPr>
      <w:r>
        <w:rPr>
          <w:bCs/>
          <w:b/>
        </w:rPr>
        <w:t xml:space="preserve">Insurance:</w:t>
      </w:r>
      <w:r>
        <w:t xml:space="preserve"> </w:t>
      </w:r>
      <w:r>
        <w:t xml:space="preserve">The supplier shall maintain professional liability insurance covering all</w:t>
      </w:r>
      <w:r>
        <w:t xml:space="preserve"> </w:t>
      </w:r>
      <w:r>
        <w:t xml:space="preserve">Translator Interpreter</w:t>
      </w:r>
      <w:r>
        <w:t xml:space="preserve"> </w:t>
      </w:r>
      <w:r>
        <w:t xml:space="preserve">personnel for the duration of the contract.</w:t>
      </w:r>
    </w:p>
    <w:p>
      <w:pPr>
        <w:numPr>
          <w:ilvl w:val="0"/>
          <w:numId w:val="1001"/>
        </w:numPr>
        <w:pStyle w:val="Compact"/>
      </w:pPr>
      <w:r>
        <w:rPr>
          <w:bCs/>
          <w:b/>
        </w:rPr>
        <w:t xml:space="preserve">Compliance:</w:t>
      </w:r>
      <w:r>
        <w:t xml:space="preserve"> </w:t>
      </w:r>
      <w:r>
        <w:t xml:space="preserve">All services must comply with Algerian labor laws, immigration regulations (if applicable), and professional translation standards recognized by the Algerian Ministry of Higher Education and Scientific Research.</w:t>
      </w:r>
    </w:p>
    <w:bookmarkEnd w:id="27"/>
    <w:bookmarkStart w:id="28" w:name="acceptance-authorization"/>
    <w:p>
      <w:pPr>
        <w:pStyle w:val="Heading2"/>
      </w:pPr>
      <w:r>
        <w:t xml:space="preserve">8. Acceptance &amp; Authorization</w:t>
      </w:r>
    </w:p>
    <w:p>
      <w:pPr>
        <w:pStyle w:val="FirstParagraph"/>
      </w:pPr>
      <w:r>
        <w:t xml:space="preserve">By signing below, both parties acknowledge and agree to all terms, conditions, pricing, and service specifications set forth in this</w:t>
      </w:r>
      <w:r>
        <w:t xml:space="preserve"> </w:t>
      </w:r>
      <w:r>
        <w:t xml:space="preserve">Purchase Order</w:t>
      </w:r>
      <w:r>
        <w:t xml:space="preserve"> </w:t>
      </w:r>
      <w:r>
        <w:t xml:space="preserve">for</w:t>
      </w:r>
      <w:r>
        <w:t xml:space="preserve"> </w:t>
      </w:r>
      <w:r>
        <w:t xml:space="preserve">Translator Interpreter</w:t>
      </w:r>
      <w:r>
        <w:t xml:space="preserve"> </w:t>
      </w:r>
      <w:r>
        <w:t xml:space="preserve">services to be performed in</w:t>
      </w:r>
      <w:r>
        <w:t xml:space="preserve"> </w:t>
      </w:r>
      <w:r>
        <w:t xml:space="preserve">Algeria Algiers</w:t>
      </w:r>
      <w:r>
        <w:t xml:space="preserve">. This document constitutes a binding commercial agreement upon execution by both authorized representatives.</w:t>
      </w:r>
    </w:p>
    <w:bookmarkEnd w:id="28"/>
    <w:p>
      <w:pPr>
        <w:pStyle w:val="BodyText"/>
      </w:pPr>
      <w:r>
        <w:rPr>
          <w:bCs/>
          <w:b/>
        </w:rPr>
        <w:t xml:space="preserve">For the Buyer:</w:t>
      </w:r>
      <w:r>
        <w:br/>
      </w:r>
      <w:r>
        <w:t xml:space="preserve">Sahara International Trade &amp; Logistics S.A.R.L.</w:t>
      </w:r>
      <w:r>
        <w:br/>
      </w:r>
      <w:r>
        <w:t xml:space="preserve">Name: Mme. Nadia Benali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Supplier:</w:t>
      </w:r>
      <w:r>
        <w:br/>
      </w:r>
      <w:r>
        <w:t xml:space="preserve">Algeria Algiers Professional Language Services EURL</w:t>
      </w:r>
      <w:r>
        <w:br/>
      </w:r>
      <w:r>
        <w:t xml:space="preserve">Name: M. Karim Haddad</w:t>
      </w:r>
      <w:r>
        <w:br/>
      </w:r>
      <w:r>
        <w:t xml:space="preserve">Title: Operations Manager</w:t>
      </w:r>
      <w:r>
        <w:br/>
      </w:r>
      <w:r>
        <w:t xml:space="preserve">Signature: _________________________</w:t>
      </w:r>
      <w:r>
        <w:br/>
      </w:r>
      <w:r>
        <w:t xml:space="preserve">Date: _________________________</w:t>
      </w:r>
    </w:p>
    <w:p>
      <w:pPr>
        <w:pStyle w:val="BodyText"/>
      </w:pPr>
      <w:r>
        <w:t xml:space="preserve">Purchase Order No. ALG-2025-04872 — Translator Interpreter Services — Algeria Algiers</w:t>
      </w:r>
    </w:p>
    <w:p>
      <w:pPr>
        <w:pStyle w:val="BodyText"/>
      </w:pPr>
      <w:r>
        <w:t xml:space="preserve">This document is generated electronically and is valid without a physical stamp. For inquiries, contact procurement@sahara-intl.dz.</w:t>
      </w:r>
    </w:p>
    <w:p>
      <w:pPr>
        <w:pStyle w:val="BodyText"/>
      </w:pPr>
      <w:r>
        <w:t xml:space="preserve">© 2025 Sahara International Trade &amp; Logistics S.A.R.L.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Algeria Algiers</dc:title>
  <dc:creator/>
  <dc:language>en</dc:language>
  <cp:keywords/>
  <dcterms:created xsi:type="dcterms:W3CDTF">2026-10-10T02:45:50Z</dcterms:created>
  <dcterms:modified xsi:type="dcterms:W3CDTF">2026-10-10T02:45:50Z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