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Translator</w:t>
      </w:r>
      <w:r>
        <w:t xml:space="preserve"> </w:t>
      </w:r>
      <w:r>
        <w:t xml:space="preserve">Interpreter</w:t>
      </w:r>
      <w:r>
        <w:t xml:space="preserve"> </w:t>
      </w:r>
      <w:r>
        <w:t xml:space="preserve">Services</w:t>
      </w:r>
      <w:r>
        <w:t xml:space="preserve"> </w:t>
      </w:r>
      <w:r>
        <w:t xml:space="preserve">-</w:t>
      </w:r>
      <w:r>
        <w:t xml:space="preserve"> </w:t>
      </w:r>
      <w:r>
        <w:t xml:space="preserve">Germany</w:t>
      </w:r>
      <w:r>
        <w:t xml:space="preserve"> </w:t>
      </w:r>
      <w:r>
        <w:t xml:space="preserve">Frankfurt</w:t>
      </w:r>
    </w:p>
    <w:bookmarkStart w:id="20" w:name="purchase-order"/>
    <w:p>
      <w:pPr>
        <w:pStyle w:val="Heading1"/>
      </w:pPr>
      <w:r>
        <w:t xml:space="preserve">PURCHASE ORDER</w:t>
      </w:r>
    </w:p>
    <w:p>
      <w:pPr>
        <w:pStyle w:val="FirstParagraph"/>
      </w:pPr>
      <w:r>
        <w:t xml:space="preserve">Official Procurement Document for Professional Language Services</w:t>
      </w:r>
    </w:p>
    <w:p>
      <w:pPr>
        <w:pStyle w:val="BodyText"/>
      </w:pPr>
      <w:r>
        <w:t xml:space="preserve">PO No. GF-2025-04872</w:t>
      </w:r>
    </w:p>
    <w:p>
      <w:pPr>
        <w:pStyle w:val="BodyText"/>
      </w:pPr>
      <w:r>
        <w:t xml:space="preserve">Date of Issue: 14 June 2025  |  Valid Until: 14 September 2025  |  Currency: EUR (€)</w:t>
      </w:r>
    </w:p>
    <w:bookmarkEnd w:id="20"/>
    <w:bookmarkStart w:id="23" w:name="parties-to-this-purchase-order"/>
    <w:p>
      <w:pPr>
        <w:pStyle w:val="Heading2"/>
      </w:pPr>
      <w:r>
        <w:t xml:space="preserve">1. Parties to This Purchase Order</w:t>
      </w:r>
    </w:p>
    <w:bookmarkStart w:id="21" w:name="purchasing-party-buyer"/>
    <w:p>
      <w:pPr>
        <w:pStyle w:val="Heading3"/>
      </w:pPr>
      <w:r>
        <w:t xml:space="preserve">Purchasing Party (Buyer)</w:t>
      </w:r>
    </w:p>
    <w:p>
      <w:pPr>
        <w:pStyle w:val="FirstParagraph"/>
      </w:pPr>
      <w:r>
        <w:rPr>
          <w:bCs/>
          <w:b/>
        </w:rPr>
        <w:t xml:space="preserve">Company:</w:t>
      </w:r>
      <w:r>
        <w:t xml:space="preserve"> </w:t>
      </w:r>
      <w:r>
        <w:t xml:space="preserve">Rhein-Main Industrial Solutions GmbH</w:t>
      </w:r>
    </w:p>
    <w:p>
      <w:pPr>
        <w:pStyle w:val="BodyText"/>
      </w:pPr>
      <w:r>
        <w:rPr>
          <w:bCs/>
          <w:b/>
        </w:rPr>
        <w:t xml:space="preserve">Address:</w:t>
      </w:r>
      <w:r>
        <w:t xml:space="preserve"> </w:t>
      </w:r>
      <w:r>
        <w:t xml:space="preserve">Zeil 42, 60313 Germany Frankfurt am Main</w:t>
      </w:r>
    </w:p>
    <w:p>
      <w:pPr>
        <w:pStyle w:val="BodyText"/>
      </w:pPr>
      <w:r>
        <w:rPr>
          <w:bCs/>
          <w:b/>
        </w:rPr>
        <w:t xml:space="preserve">Contact:</w:t>
      </w:r>
      <w:r>
        <w:t xml:space="preserve"> </w:t>
      </w:r>
      <w:r>
        <w:t xml:space="preserve">Procurement Department</w:t>
      </w:r>
    </w:p>
    <w:p>
      <w:pPr>
        <w:pStyle w:val="BodyText"/>
      </w:pPr>
      <w:r>
        <w:rPr>
          <w:bCs/>
          <w:b/>
        </w:rPr>
        <w:t xml:space="preserve">Email:</w:t>
      </w:r>
      <w:r>
        <w:t xml:space="preserve"> </w:t>
      </w:r>
      <w:r>
        <w:t xml:space="preserve">procurement@rmis-gmbh.de</w:t>
      </w:r>
    </w:p>
    <w:p>
      <w:pPr>
        <w:pStyle w:val="BodyText"/>
      </w:pPr>
      <w:r>
        <w:rPr>
          <w:bCs/>
          <w:b/>
        </w:rPr>
        <w:t xml:space="preserve">Phone:</w:t>
      </w:r>
      <w:r>
        <w:t xml:space="preserve"> </w:t>
      </w:r>
      <w:r>
        <w:t xml:space="preserve">+49 69 5550 1200</w:t>
      </w:r>
    </w:p>
    <w:p>
      <w:pPr>
        <w:pStyle w:val="BodyText"/>
      </w:pPr>
      <w:r>
        <w:rPr>
          <w:bCs/>
          <w:b/>
        </w:rPr>
        <w:t xml:space="preserve">VAT ID:</w:t>
      </w:r>
      <w:r>
        <w:t xml:space="preserve"> </w:t>
      </w:r>
      <w:r>
        <w:t xml:space="preserve">DE 318 442 771</w:t>
      </w:r>
    </w:p>
    <w:bookmarkEnd w:id="21"/>
    <w:bookmarkStart w:id="22" w:name="service-provider-seller"/>
    <w:p>
      <w:pPr>
        <w:pStyle w:val="Heading3"/>
      </w:pPr>
      <w:r>
        <w:t xml:space="preserve">Service Provider (Seller)</w:t>
      </w:r>
    </w:p>
    <w:p>
      <w:pPr>
        <w:pStyle w:val="FirstParagraph"/>
      </w:pPr>
      <w:r>
        <w:rPr>
          <w:bCs/>
          <w:b/>
        </w:rPr>
        <w:t xml:space="preserve">Company:</w:t>
      </w:r>
      <w:r>
        <w:t xml:space="preserve"> </w:t>
      </w:r>
      <w:r>
        <w:t xml:space="preserve">LinguaBridge Professional Services GmbH</w:t>
      </w:r>
    </w:p>
    <w:p>
      <w:pPr>
        <w:pStyle w:val="BodyText"/>
      </w:pPr>
      <w:r>
        <w:rPr>
          <w:bCs/>
          <w:b/>
        </w:rPr>
        <w:t xml:space="preserve">Address:</w:t>
      </w:r>
      <w:r>
        <w:t xml:space="preserve"> </w:t>
      </w:r>
      <w:r>
        <w:t xml:space="preserve">Bockenheimer Landstraße 88, 60323 Germany Frankfurt am Main</w:t>
      </w:r>
    </w:p>
    <w:p>
      <w:pPr>
        <w:pStyle w:val="BodyText"/>
      </w:pPr>
      <w:r>
        <w:rPr>
          <w:bCs/>
          <w:b/>
        </w:rPr>
        <w:t xml:space="preserve">Contact:</w:t>
      </w:r>
      <w:r>
        <w:t xml:space="preserve"> </w:t>
      </w:r>
      <w:r>
        <w:t xml:space="preserve">Account Management Office</w:t>
      </w:r>
    </w:p>
    <w:p>
      <w:pPr>
        <w:pStyle w:val="BodyText"/>
      </w:pPr>
      <w:r>
        <w:rPr>
          <w:bCs/>
          <w:b/>
        </w:rPr>
        <w:t xml:space="preserve">Email:</w:t>
      </w:r>
      <w:r>
        <w:t xml:space="preserve"> </w:t>
      </w:r>
      <w:r>
        <w:t xml:space="preserve">contracts@linguabridge.de</w:t>
      </w:r>
    </w:p>
    <w:p>
      <w:pPr>
        <w:pStyle w:val="BodyText"/>
      </w:pPr>
      <w:r>
        <w:rPr>
          <w:bCs/>
          <w:b/>
        </w:rPr>
        <w:t xml:space="preserve">Phone:</w:t>
      </w:r>
      <w:r>
        <w:t xml:space="preserve"> </w:t>
      </w:r>
      <w:r>
        <w:t xml:space="preserve">+49 69 7788 3400</w:t>
      </w:r>
    </w:p>
    <w:p>
      <w:pPr>
        <w:pStyle w:val="BodyText"/>
      </w:pPr>
      <w:r>
        <w:rPr>
          <w:bCs/>
          <w:b/>
        </w:rPr>
        <w:t xml:space="preserve">VAT ID:</w:t>
      </w:r>
      <w:r>
        <w:t xml:space="preserve"> </w:t>
      </w:r>
      <w:r>
        <w:t xml:space="preserve">DE 295 661 003</w:t>
      </w:r>
    </w:p>
    <w:bookmarkEnd w:id="22"/>
    <w:bookmarkEnd w:id="23"/>
    <w:bookmarkStart w:id="24" w:name="Xfc6ea8ddcf367b70a102e628dd1a6b93878cbdc"/>
    <w:p>
      <w:pPr>
        <w:pStyle w:val="Heading2"/>
      </w:pPr>
      <w:r>
        <w:t xml:space="preserve">2. Scope of Services – Translator Interpreter Engagement</w:t>
      </w:r>
    </w:p>
    <w:p>
      <w:pPr>
        <w:pStyle w:val="FirstParagraph"/>
      </w:pPr>
      <w:r>
        <w:t xml:space="preserve">This</w:t>
      </w:r>
      <w:r>
        <w:t xml:space="preserve"> </w:t>
      </w:r>
      <w:r>
        <w:t xml:space="preserve">Purchase Order</w:t>
      </w:r>
      <w:r>
        <w:t xml:space="preserve"> </w:t>
      </w:r>
      <w:r>
        <w:t xml:space="preserve">authorizes the procurement of professional</w:t>
      </w:r>
      <w:r>
        <w:t xml:space="preserve"> </w:t>
      </w:r>
      <w:r>
        <w:t xml:space="preserve">Translator Interpreter</w:t>
      </w:r>
      <w:r>
        <w:t xml:space="preserve"> </w:t>
      </w:r>
      <w:r>
        <w:t xml:space="preserve">services to be rendered on-site and remotely in</w:t>
      </w:r>
      <w:r>
        <w:t xml:space="preserve"> </w:t>
      </w:r>
      <w:r>
        <w:t xml:space="preserve">Germany Frankfurt</w:t>
      </w:r>
      <w:r>
        <w:t xml:space="preserve"> </w:t>
      </w:r>
      <w:r>
        <w:t xml:space="preserve">and its surrounding metropolitan area. The services are required to support Rhein-Main Industrial Solutions GmbH during the Q3 2025 international trade exhibition, bilateral investment negotiations, and technical contract finalization meetings scheduled between 1 July 2025 and 31 August 2025.</w:t>
      </w:r>
    </w:p>
    <w:p>
      <w:pPr>
        <w:pStyle w:val="BodyText"/>
      </w:pPr>
      <w:r>
        <w:t xml:space="preserve">The</w:t>
      </w:r>
      <w:r>
        <w:t xml:space="preserve"> </w:t>
      </w:r>
      <w:r>
        <w:t xml:space="preserve">Translator Interpreter</w:t>
      </w:r>
      <w:r>
        <w:t xml:space="preserve"> </w:t>
      </w:r>
      <w:r>
        <w:t xml:space="preserve">engaged under this</w:t>
      </w:r>
      <w:r>
        <w:t xml:space="preserve"> </w:t>
      </w:r>
      <w:r>
        <w:t xml:space="preserve">Purchase Order</w:t>
      </w:r>
      <w:r>
        <w:t xml:space="preserve"> </w:t>
      </w:r>
      <w:r>
        <w:t xml:space="preserve">shall provide simultaneous and consecutive interpretation, as well as certified document translation, in the following language pairs: German (DE) to English (EN), German (DE) to Mandarin Chinese (ZH), and English (EN) to Arabic (AR). All services must be delivered by certified professionals holding recognized credentials from the German Federal Chamber of Interpreters (Bundesrechtsanwaltskammer) or equivalent international accreditation bodies.</w:t>
      </w:r>
    </w:p>
    <w:p>
      <w:pPr>
        <w:pStyle w:val="BodyText"/>
      </w:pPr>
      <w:r>
        <w:t xml:space="preserve">All on-site interpretation sessions will take place at the buyer's headquarters located at Zeil 42, 60313 Germany Frankfurt, as well as at the Frankfurt Exhibition Centre (Messe Frankfurt) during the trade fair period. Remote interpretation sessions will be conducted via encrypted video conferencing platforms approved by the buyer's IT security division.</w:t>
      </w:r>
    </w:p>
    <w:bookmarkEnd w:id="24"/>
    <w:bookmarkStart w:id="25"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Language Pair</w:t>
            </w:r>
          </w:p>
        </w:tc>
        <w:tc>
          <w:tcPr/>
          <w:p>
            <w:pPr>
              <w:pStyle w:val="Compact"/>
              <w:jc w:val="left"/>
            </w:pPr>
            <w:r>
              <w:t xml:space="preserve">Duration / Volume</w:t>
            </w:r>
          </w:p>
        </w:tc>
        <w:tc>
          <w:tcPr/>
          <w:p>
            <w:pPr>
              <w:pStyle w:val="Compact"/>
              <w:jc w:val="left"/>
            </w:pPr>
            <w:r>
              <w:t xml:space="preserve">Unit Rate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Simultaneous Interpretation – Trade Exhibition (Germany Frankfurt)</w:t>
            </w:r>
          </w:p>
        </w:tc>
        <w:tc>
          <w:tcPr/>
          <w:p>
            <w:pPr>
              <w:pStyle w:val="Compact"/>
              <w:jc w:val="left"/>
            </w:pPr>
            <w:r>
              <w:t xml:space="preserve">DE / EN</w:t>
            </w:r>
          </w:p>
        </w:tc>
        <w:tc>
          <w:tcPr/>
          <w:p>
            <w:pPr>
              <w:pStyle w:val="Compact"/>
              <w:jc w:val="left"/>
            </w:pPr>
            <w:r>
              <w:t xml:space="preserve">40 hours</w:t>
            </w:r>
          </w:p>
        </w:tc>
        <w:tc>
          <w:tcPr/>
          <w:p>
            <w:pPr>
              <w:pStyle w:val="Compact"/>
              <w:jc w:val="left"/>
            </w:pPr>
            <w:r>
              <w:t xml:space="preserve">€120.00</w:t>
            </w:r>
          </w:p>
        </w:tc>
        <w:tc>
          <w:tcPr/>
          <w:p>
            <w:pPr>
              <w:pStyle w:val="Compact"/>
              <w:jc w:val="left"/>
            </w:pPr>
            <w:r>
              <w:t xml:space="preserve">€4,800.00</w:t>
            </w:r>
          </w:p>
        </w:tc>
      </w:tr>
      <w:tr>
        <w:tc>
          <w:tcPr/>
          <w:p>
            <w:pPr>
              <w:pStyle w:val="Compact"/>
              <w:jc w:val="left"/>
            </w:pPr>
            <w:r>
              <w:t xml:space="preserve">02</w:t>
            </w:r>
          </w:p>
        </w:tc>
        <w:tc>
          <w:tcPr/>
          <w:p>
            <w:pPr>
              <w:pStyle w:val="Compact"/>
              <w:jc w:val="left"/>
            </w:pPr>
            <w:r>
              <w:t xml:space="preserve">Consecutive Interpretation – Investment Negotiations</w:t>
            </w:r>
          </w:p>
        </w:tc>
        <w:tc>
          <w:tcPr/>
          <w:p>
            <w:pPr>
              <w:pStyle w:val="Compact"/>
              <w:jc w:val="left"/>
            </w:pPr>
            <w:r>
              <w:t xml:space="preserve">DE / ZH</w:t>
            </w:r>
          </w:p>
        </w:tc>
        <w:tc>
          <w:tcPr/>
          <w:p>
            <w:pPr>
              <w:pStyle w:val="Compact"/>
              <w:jc w:val="left"/>
            </w:pPr>
            <w:r>
              <w:t xml:space="preserve">24 hours</w:t>
            </w:r>
          </w:p>
        </w:tc>
        <w:tc>
          <w:tcPr/>
          <w:p>
            <w:pPr>
              <w:pStyle w:val="Compact"/>
              <w:jc w:val="left"/>
            </w:pPr>
            <w:r>
              <w:t xml:space="preserve">€110.00</w:t>
            </w:r>
          </w:p>
        </w:tc>
        <w:tc>
          <w:tcPr/>
          <w:p>
            <w:pPr>
              <w:pStyle w:val="Compact"/>
              <w:jc w:val="left"/>
            </w:pPr>
            <w:r>
              <w:t xml:space="preserve">€2,640.00</w:t>
            </w:r>
          </w:p>
        </w:tc>
      </w:tr>
      <w:tr>
        <w:tc>
          <w:tcPr/>
          <w:p>
            <w:pPr>
              <w:pStyle w:val="Compact"/>
              <w:jc w:val="left"/>
            </w:pPr>
            <w:r>
              <w:t xml:space="preserve">03</w:t>
            </w:r>
          </w:p>
        </w:tc>
        <w:tc>
          <w:tcPr/>
          <w:p>
            <w:pPr>
              <w:pStyle w:val="Compact"/>
              <w:jc w:val="left"/>
            </w:pPr>
            <w:r>
              <w:t xml:space="preserve">Certified Document Translation – Technical Contracts</w:t>
            </w:r>
          </w:p>
        </w:tc>
        <w:tc>
          <w:tcPr/>
          <w:p>
            <w:pPr>
              <w:pStyle w:val="Compact"/>
              <w:jc w:val="left"/>
            </w:pPr>
            <w:r>
              <w:t xml:space="preserve">EN / AR</w:t>
            </w:r>
          </w:p>
        </w:tc>
        <w:tc>
          <w:tcPr/>
          <w:p>
            <w:pPr>
              <w:pStyle w:val="Compact"/>
              <w:jc w:val="left"/>
            </w:pPr>
            <w:r>
              <w:t xml:space="preserve">12,000 words</w:t>
            </w:r>
          </w:p>
        </w:tc>
        <w:tc>
          <w:tcPr/>
          <w:p>
            <w:pPr>
              <w:pStyle w:val="Compact"/>
              <w:jc w:val="left"/>
            </w:pPr>
            <w:r>
              <w:t xml:space="preserve">€0.14/word</w:t>
            </w:r>
          </w:p>
        </w:tc>
        <w:tc>
          <w:tcPr/>
          <w:p>
            <w:pPr>
              <w:pStyle w:val="Compact"/>
              <w:jc w:val="left"/>
            </w:pPr>
            <w:r>
              <w:t xml:space="preserve">€1,680.00</w:t>
            </w:r>
          </w:p>
        </w:tc>
      </w:tr>
      <w:tr>
        <w:tc>
          <w:tcPr/>
          <w:p>
            <w:pPr>
              <w:pStyle w:val="Compact"/>
              <w:jc w:val="left"/>
            </w:pPr>
            <w:r>
              <w:t xml:space="preserve">04</w:t>
            </w:r>
          </w:p>
        </w:tc>
        <w:tc>
          <w:tcPr/>
          <w:p>
            <w:pPr>
              <w:pStyle w:val="Compact"/>
              <w:jc w:val="left"/>
            </w:pPr>
            <w:r>
              <w:t xml:space="preserve">Remote Video Interpretation – Board Meetings</w:t>
            </w:r>
          </w:p>
        </w:tc>
        <w:tc>
          <w:tcPr/>
          <w:p>
            <w:pPr>
              <w:pStyle w:val="Compact"/>
              <w:jc w:val="left"/>
            </w:pPr>
            <w:r>
              <w:t xml:space="preserve">DE / EN</w:t>
            </w:r>
          </w:p>
        </w:tc>
        <w:tc>
          <w:tcPr/>
          <w:p>
            <w:pPr>
              <w:pStyle w:val="Compact"/>
              <w:jc w:val="left"/>
            </w:pPr>
            <w:r>
              <w:t xml:space="preserve">16 hours</w:t>
            </w:r>
          </w:p>
        </w:tc>
        <w:tc>
          <w:tcPr/>
          <w:p>
            <w:pPr>
              <w:pStyle w:val="Compact"/>
              <w:jc w:val="left"/>
            </w:pPr>
            <w:r>
              <w:t xml:space="preserve">€105.00</w:t>
            </w:r>
          </w:p>
        </w:tc>
        <w:tc>
          <w:tcPr/>
          <w:p>
            <w:pPr>
              <w:pStyle w:val="Compact"/>
              <w:jc w:val="left"/>
            </w:pPr>
            <w:r>
              <w:t xml:space="preserve">€1,680.00</w:t>
            </w:r>
          </w:p>
        </w:tc>
      </w:tr>
      <w:tr>
        <w:tc>
          <w:tcPr/>
          <w:p>
            <w:pPr>
              <w:pStyle w:val="Compact"/>
              <w:jc w:val="left"/>
            </w:pPr>
            <w:r>
              <w:t xml:space="preserve">05</w:t>
            </w:r>
          </w:p>
        </w:tc>
        <w:tc>
          <w:tcPr/>
          <w:p>
            <w:pPr>
              <w:pStyle w:val="Compact"/>
              <w:jc w:val="left"/>
            </w:pPr>
            <w:r>
              <w:t xml:space="preserve">On-Site Translator Interpreter Support – Legal Proceedings (Germany Frankfurt)</w:t>
            </w:r>
          </w:p>
        </w:tc>
        <w:tc>
          <w:tcPr/>
          <w:p>
            <w:pPr>
              <w:pStyle w:val="Compact"/>
              <w:jc w:val="left"/>
            </w:pPr>
            <w:r>
              <w:t xml:space="preserve">DE / ZH</w:t>
            </w:r>
          </w:p>
        </w:tc>
        <w:tc>
          <w:tcPr/>
          <w:p>
            <w:pPr>
              <w:pStyle w:val="Compact"/>
              <w:jc w:val="left"/>
            </w:pPr>
            <w:r>
              <w:t xml:space="preserve">8 hours</w:t>
            </w:r>
          </w:p>
        </w:tc>
        <w:tc>
          <w:tcPr/>
          <w:p>
            <w:pPr>
              <w:pStyle w:val="Compact"/>
              <w:jc w:val="left"/>
            </w:pPr>
            <w:r>
              <w:t xml:space="preserve">€135.00</w:t>
            </w:r>
          </w:p>
        </w:tc>
        <w:tc>
          <w:tcPr/>
          <w:p>
            <w:pPr>
              <w:pStyle w:val="Compact"/>
              <w:jc w:val="left"/>
            </w:pPr>
            <w:r>
              <w:t xml:space="preserve">€1,080.00</w:t>
            </w:r>
          </w:p>
        </w:tc>
      </w:tr>
      <w:tr>
        <w:tc>
          <w:tcPr/>
          <w:p>
            <w:pPr>
              <w:pStyle w:val="Compact"/>
              <w:jc w:val="left"/>
            </w:pPr>
            <w:r>
              <w:t xml:space="preserve">06</w:t>
            </w:r>
          </w:p>
        </w:tc>
        <w:tc>
          <w:tcPr/>
          <w:p>
            <w:pPr>
              <w:pStyle w:val="Compact"/>
              <w:jc w:val="left"/>
            </w:pPr>
            <w:r>
              <w:t xml:space="preserve">Urgent Same-Day Translation – Regulatory Filings</w:t>
            </w:r>
          </w:p>
        </w:tc>
        <w:tc>
          <w:tcPr/>
          <w:p>
            <w:pPr>
              <w:pStyle w:val="Compact"/>
              <w:jc w:val="left"/>
            </w:pPr>
            <w:r>
              <w:t xml:space="preserve">EN / AR</w:t>
            </w:r>
          </w:p>
        </w:tc>
        <w:tc>
          <w:tcPr/>
          <w:p>
            <w:pPr>
              <w:pStyle w:val="Compact"/>
              <w:jc w:val="left"/>
            </w:pPr>
            <w:r>
              <w:t xml:space="preserve">3,500 words</w:t>
            </w:r>
          </w:p>
        </w:tc>
        <w:tc>
          <w:tcPr/>
          <w:p>
            <w:pPr>
              <w:pStyle w:val="Compact"/>
              <w:jc w:val="left"/>
            </w:pPr>
            <w:r>
              <w:t xml:space="preserve">€0.22/word</w:t>
            </w:r>
          </w:p>
        </w:tc>
        <w:tc>
          <w:tcPr/>
          <w:p>
            <w:pPr>
              <w:pStyle w:val="Compact"/>
              <w:jc w:val="left"/>
            </w:pPr>
            <w:r>
              <w:t xml:space="preserve">€770.00</w:t>
            </w:r>
          </w:p>
        </w:tc>
      </w:tr>
      <w:tr>
        <w:tc>
          <w:tcPr>
            <w:gridSpan w:val="5"/>
          </w:tcPr>
          <w:p>
            <w:pPr>
              <w:pStyle w:val="Compact"/>
              <w:jc w:val="right"/>
            </w:pPr>
            <w:r>
              <w:t xml:space="preserve">Subtotal (excl. VAT):</w:t>
            </w:r>
          </w:p>
        </w:tc>
        <w:tc>
          <w:tcPr/>
          <w:p>
            <w:pPr>
              <w:pStyle w:val="Compact"/>
              <w:jc w:val="left"/>
            </w:pPr>
            <w:r>
              <w:t xml:space="preserve">€12,650.00</w:t>
            </w:r>
          </w:p>
        </w:tc>
      </w:tr>
      <w:tr>
        <w:tc>
          <w:tcPr>
            <w:gridSpan w:val="5"/>
          </w:tcPr>
          <w:p>
            <w:pPr>
              <w:pStyle w:val="Compact"/>
              <w:jc w:val="right"/>
            </w:pPr>
            <w:r>
              <w:t xml:space="preserve">VAT (19%):</w:t>
            </w:r>
          </w:p>
        </w:tc>
        <w:tc>
          <w:tcPr/>
          <w:p>
            <w:pPr>
              <w:pStyle w:val="Compact"/>
              <w:jc w:val="left"/>
            </w:pPr>
            <w:r>
              <w:t xml:space="preserve">€2,403.50</w:t>
            </w:r>
          </w:p>
        </w:tc>
      </w:tr>
      <w:tr>
        <w:tc>
          <w:tcPr>
            <w:gridSpan w:val="5"/>
          </w:tcPr>
          <w:p>
            <w:pPr>
              <w:pStyle w:val="Compact"/>
              <w:jc w:val="right"/>
            </w:pPr>
            <w:r>
              <w:t xml:space="preserve">Grand Total (incl. VAT):</w:t>
            </w:r>
          </w:p>
        </w:tc>
        <w:tc>
          <w:tcPr/>
          <w:p>
            <w:pPr>
              <w:pStyle w:val="Compact"/>
              <w:jc w:val="left"/>
            </w:pPr>
            <w:r>
              <w:t xml:space="preserve">€15,053.50</w:t>
            </w:r>
          </w:p>
        </w:tc>
      </w:tr>
    </w:tbl>
    <w:bookmarkEnd w:id="25"/>
    <w:bookmarkStart w:id="26" w:name="terms-and-conditions"/>
    <w:p>
      <w:pPr>
        <w:pStyle w:val="Heading2"/>
      </w:pPr>
      <w:r>
        <w:t xml:space="preserve">4. Terms and Conditions</w:t>
      </w:r>
    </w:p>
    <w:p>
      <w:pPr>
        <w:numPr>
          <w:ilvl w:val="0"/>
          <w:numId w:val="1001"/>
        </w:numPr>
        <w:pStyle w:val="Compact"/>
      </w:pPr>
      <w:r>
        <w:rPr>
          <w:bCs/>
          <w:b/>
        </w:rPr>
        <w:t xml:space="preserve">Acceptance:</w:t>
      </w:r>
      <w:r>
        <w:t xml:space="preserve"> </w:t>
      </w:r>
      <w:r>
        <w:t xml:space="preserve">This</w:t>
      </w:r>
      <w:r>
        <w:t xml:space="preserve"> </w:t>
      </w:r>
      <w:r>
        <w:t xml:space="preserve">Purchase Order</w:t>
      </w:r>
      <w:r>
        <w:t xml:space="preserve"> </w:t>
      </w:r>
      <w:r>
        <w:t xml:space="preserve">becomes binding upon written acceptance by the service provider. The</w:t>
      </w:r>
      <w:r>
        <w:t xml:space="preserve"> </w:t>
      </w:r>
      <w:r>
        <w:t xml:space="preserve">Translator Interpreter</w:t>
      </w:r>
      <w:r>
        <w:t xml:space="preserve"> </w:t>
      </w:r>
      <w:r>
        <w:t xml:space="preserve">services described herein shall commence no earlier than 1 July 2025 and shall conclude by 31 August 2025, unless extended by mutual written agreement.</w:t>
      </w:r>
    </w:p>
    <w:p>
      <w:pPr>
        <w:numPr>
          <w:ilvl w:val="0"/>
          <w:numId w:val="1001"/>
        </w:numPr>
        <w:pStyle w:val="Compact"/>
      </w:pPr>
      <w:r>
        <w:rPr>
          <w:bCs/>
          <w:b/>
        </w:rPr>
        <w:t xml:space="preserve">Location of Service:</w:t>
      </w:r>
      <w:r>
        <w:t xml:space="preserve"> </w:t>
      </w:r>
      <w:r>
        <w:t xml:space="preserve">All on-site services shall be performed in</w:t>
      </w:r>
      <w:r>
        <w:t xml:space="preserve"> </w:t>
      </w:r>
      <w:r>
        <w:t xml:space="preserve">Germany Frankfurt</w:t>
      </w:r>
      <w:r>
        <w:t xml:space="preserve"> </w:t>
      </w:r>
      <w:r>
        <w:t xml:space="preserve">or at locations within a 50-kilometer radius of Frankfurt am Main. The buyer shall provide necessary workspace, technical equipment (headsets, microphones, recording devices), and access credentials for all</w:t>
      </w:r>
      <w:r>
        <w:t xml:space="preserve"> </w:t>
      </w:r>
      <w:r>
        <w:t xml:space="preserve">Translator Interpreter</w:t>
      </w:r>
      <w:r>
        <w:t xml:space="preserve"> </w:t>
      </w:r>
      <w:r>
        <w:t xml:space="preserve">personnel.</w:t>
      </w:r>
    </w:p>
    <w:p>
      <w:pPr>
        <w:numPr>
          <w:ilvl w:val="0"/>
          <w:numId w:val="1001"/>
        </w:numPr>
        <w:pStyle w:val="Compact"/>
      </w:pPr>
      <w:r>
        <w:rPr>
          <w:bCs/>
          <w:b/>
        </w:rPr>
        <w:t xml:space="preserve">Confidentiality:</w:t>
      </w:r>
      <w:r>
        <w:t xml:space="preserve"> </w:t>
      </w:r>
      <w:r>
        <w:t xml:space="preserve">The</w:t>
      </w:r>
      <w:r>
        <w:t xml:space="preserve"> </w:t>
      </w:r>
      <w:r>
        <w:t xml:space="preserve">Translator Interpreter</w:t>
      </w:r>
      <w:r>
        <w:t xml:space="preserve"> </w:t>
      </w:r>
      <w:r>
        <w:t xml:space="preserve">and all associated personnel shall execute a Non-Disclosure Agreement (NDA) prior to commencing any work. All documents, recordings, and verbal communications encountered during the engagement in</w:t>
      </w:r>
      <w:r>
        <w:t xml:space="preserve"> </w:t>
      </w:r>
      <w:r>
        <w:t xml:space="preserve">Germany Frankfurt</w:t>
      </w:r>
      <w:r>
        <w:t xml:space="preserve"> </w:t>
      </w:r>
      <w:r>
        <w:t xml:space="preserve">are classified as confidential and proprietary to the buyer.</w:t>
      </w:r>
    </w:p>
    <w:p>
      <w:pPr>
        <w:numPr>
          <w:ilvl w:val="0"/>
          <w:numId w:val="1001"/>
        </w:numPr>
        <w:pStyle w:val="Compact"/>
      </w:pPr>
      <w:r>
        <w:rPr>
          <w:bCs/>
          <w:b/>
        </w:rPr>
        <w:t xml:space="preserve">Quality Assurance:</w:t>
      </w:r>
      <w:r>
        <w:t xml:space="preserve"> </w:t>
      </w:r>
      <w:r>
        <w:t xml:space="preserve">The service provider guarantees that all</w:t>
      </w:r>
      <w:r>
        <w:t xml:space="preserve"> </w:t>
      </w:r>
      <w:r>
        <w:t xml:space="preserve">Translator Interpreter</w:t>
      </w:r>
      <w:r>
        <w:t xml:space="preserve"> </w:t>
      </w:r>
      <w:r>
        <w:t xml:space="preserve">professionals assigned to this</w:t>
      </w:r>
      <w:r>
        <w:t xml:space="preserve"> </w:t>
      </w:r>
      <w:r>
        <w:t xml:space="preserve">Purchase Order</w:t>
      </w:r>
      <w:r>
        <w:t xml:space="preserve"> </w:t>
      </w:r>
      <w:r>
        <w:t xml:space="preserve">hold minimum five (5) years of professional experience in the relevant language pair and possess valid professional liability insurance with a coverage of no less than €2,000,000 per claim.</w:t>
      </w:r>
    </w:p>
    <w:p>
      <w:pPr>
        <w:numPr>
          <w:ilvl w:val="0"/>
          <w:numId w:val="1001"/>
        </w:numPr>
        <w:pStyle w:val="Compact"/>
      </w:pPr>
      <w:r>
        <w:rPr>
          <w:bCs/>
          <w:b/>
        </w:rPr>
        <w:t xml:space="preserve">Payment Terms:</w:t>
      </w:r>
      <w:r>
        <w:t xml:space="preserve"> </w:t>
      </w:r>
      <w:r>
        <w:t xml:space="preserve">Payment shall be made within thirty (30) calendar days of receipt of a valid invoice. Invoices must reference this</w:t>
      </w:r>
      <w:r>
        <w:t xml:space="preserve"> </w:t>
      </w:r>
      <w:r>
        <w:t xml:space="preserve">Purchase Order</w:t>
      </w:r>
      <w:r>
        <w:t xml:space="preserve"> </w:t>
      </w:r>
      <w:r>
        <w:t xml:space="preserve">number (GF-2025-04872) and include a detailed breakdown of hours or words rendered. Payment shall be executed via SEPA bank transfer to the account specified by the service provider.</w:t>
      </w:r>
    </w:p>
    <w:p>
      <w:pPr>
        <w:numPr>
          <w:ilvl w:val="0"/>
          <w:numId w:val="1001"/>
        </w:numPr>
        <w:pStyle w:val="Compact"/>
      </w:pPr>
      <w:r>
        <w:rPr>
          <w:bCs/>
          <w:b/>
        </w:rPr>
        <w:t xml:space="preserve">Cancellation and Modification:</w:t>
      </w:r>
      <w:r>
        <w:t xml:space="preserve"> </w:t>
      </w:r>
      <w:r>
        <w:t xml:space="preserve">Either party may cancel or modify this</w:t>
      </w:r>
      <w:r>
        <w:t xml:space="preserve"> </w:t>
      </w:r>
      <w:r>
        <w:t xml:space="preserve">Purchase Order</w:t>
      </w:r>
      <w:r>
        <w:t xml:space="preserve"> </w:t>
      </w:r>
      <w:r>
        <w:t xml:space="preserve">with a minimum of fourteen (14) days' written notice. Cancellations within seven (7) days of a scheduled</w:t>
      </w:r>
      <w:r>
        <w:t xml:space="preserve"> </w:t>
      </w:r>
      <w:r>
        <w:t xml:space="preserve">Translator Interpreter</w:t>
      </w:r>
      <w:r>
        <w:t xml:space="preserve"> </w:t>
      </w:r>
      <w:r>
        <w:t xml:space="preserve">session in</w:t>
      </w:r>
      <w:r>
        <w:t xml:space="preserve"> </w:t>
      </w:r>
      <w:r>
        <w:t xml:space="preserve">Germany Frankfurt</w:t>
      </w:r>
      <w:r>
        <w:t xml:space="preserve"> </w:t>
      </w:r>
      <w:r>
        <w:t xml:space="preserve">shall incur a 50% fee of the scheduled session value.</w:t>
      </w:r>
    </w:p>
    <w:p>
      <w:pPr>
        <w:numPr>
          <w:ilvl w:val="0"/>
          <w:numId w:val="1001"/>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laws of the Federal Republic of Germany. Any disputes arising from this agreement shall be subject to the exclusive jurisdiction of the competent courts in Frankfurt am Main, Germany.</w:t>
      </w:r>
    </w:p>
    <w:p>
      <w:pPr>
        <w:numPr>
          <w:ilvl w:val="0"/>
          <w:numId w:val="1001"/>
        </w:numPr>
        <w:pStyle w:val="Compact"/>
      </w:pPr>
      <w:r>
        <w:rPr>
          <w:bCs/>
          <w:b/>
        </w:rPr>
        <w:t xml:space="preserve">Force Majeure:</w:t>
      </w:r>
      <w:r>
        <w:t xml:space="preserve"> </w:t>
      </w:r>
      <w:r>
        <w:t xml:space="preserve">Neither party shall be liable for failure to perform obligations under this</w:t>
      </w:r>
      <w:r>
        <w:t xml:space="preserve"> </w:t>
      </w:r>
      <w:r>
        <w:t xml:space="preserve">Purchase Order</w:t>
      </w:r>
      <w:r>
        <w:t xml:space="preserve"> </w:t>
      </w:r>
      <w:r>
        <w:t xml:space="preserve">due to events beyond reasonable control, including but not limited to natural disasters, government mandates, or public health emergencies affecting the</w:t>
      </w:r>
      <w:r>
        <w:t xml:space="preserve"> </w:t>
      </w:r>
      <w:r>
        <w:t xml:space="preserve">Germany Frankfurt</w:t>
      </w:r>
      <w:r>
        <w:t xml:space="preserve"> </w:t>
      </w:r>
      <w:r>
        <w:t xml:space="preserve">region.</w:t>
      </w:r>
    </w:p>
    <w:bookmarkEnd w:id="26"/>
    <w:bookmarkStart w:id="27" w:name="authorized-signatories"/>
    <w:p>
      <w:pPr>
        <w:pStyle w:val="Heading2"/>
      </w:pPr>
      <w:r>
        <w:t xml:space="preserve">5. Authorized Signatories</w:t>
      </w:r>
    </w:p>
    <w:p>
      <w:pPr>
        <w:pStyle w:val="FirstParagraph"/>
      </w:pPr>
      <w:r>
        <w:rPr>
          <w:bCs/>
          <w:b/>
        </w:rPr>
        <w:t xml:space="preserve">For and on behalf of:</w:t>
      </w:r>
      <w:r>
        <w:br/>
      </w:r>
      <w:r>
        <w:t xml:space="preserve">Rhein-Main Industrial Solutions GmbH</w:t>
      </w:r>
    </w:p>
    <w:p>
      <w:pPr>
        <w:pStyle w:val="BodyText"/>
      </w:pPr>
      <w:r>
        <w:t xml:space="preserve">Dr. Katharina Vogel</w:t>
      </w:r>
      <w:r>
        <w:br/>
      </w:r>
      <w:r>
        <w:t xml:space="preserve">Head of Procurement</w:t>
      </w:r>
      <w:r>
        <w:br/>
      </w:r>
      <w:r>
        <w:t xml:space="preserve">Date: _______________</w:t>
      </w:r>
    </w:p>
    <w:p>
      <w:pPr>
        <w:pStyle w:val="BodyText"/>
      </w:pPr>
      <w:r>
        <w:rPr>
          <w:bCs/>
          <w:b/>
        </w:rPr>
        <w:t xml:space="preserve">For and on behalf of:</w:t>
      </w:r>
      <w:r>
        <w:br/>
      </w:r>
      <w:r>
        <w:t xml:space="preserve">LinguaBridge Professional Services GmbH</w:t>
      </w:r>
    </w:p>
    <w:p>
      <w:pPr>
        <w:pStyle w:val="BodyText"/>
      </w:pPr>
      <w:r>
        <w:t xml:space="preserve">Marcus Steinbach</w:t>
      </w:r>
      <w:r>
        <w:br/>
      </w:r>
      <w:r>
        <w:t xml:space="preserve">Director of Contracts</w:t>
      </w:r>
      <w:r>
        <w:br/>
      </w:r>
      <w:r>
        <w:t xml:space="preserve">Date: _______________</w:t>
      </w:r>
    </w:p>
    <w:bookmarkEnd w:id="27"/>
    <w:p>
      <w:pPr>
        <w:pStyle w:val="BodyText"/>
      </w:pPr>
      <w:r>
        <w:t xml:space="preserve">This</w:t>
      </w:r>
      <w:r>
        <w:t xml:space="preserve"> </w:t>
      </w:r>
      <w:r>
        <w:t xml:space="preserve">Purchase Order</w:t>
      </w:r>
      <w:r>
        <w:t xml:space="preserve"> </w:t>
      </w:r>
      <w:r>
        <w:t xml:space="preserve">(No. GF-2025-04872) constitutes a complete and final agreement for the procurement of</w:t>
      </w:r>
      <w:r>
        <w:t xml:space="preserve"> </w:t>
      </w:r>
      <w:r>
        <w:t xml:space="preserve">Translator Interpreter</w:t>
      </w:r>
      <w:r>
        <w:t xml:space="preserve"> </w:t>
      </w:r>
      <w:r>
        <w:t xml:space="preserve">services in</w:t>
      </w:r>
      <w:r>
        <w:t xml:space="preserve"> </w:t>
      </w:r>
      <w:r>
        <w:t xml:space="preserve">Germany Frankfurt</w:t>
      </w:r>
      <w:r>
        <w:t xml:space="preserve">. It supersedes all prior negotiations, representations, and agreements between the parties. Document generated on 14 June 2025.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Translator Interpreter Services - Germany Frankfurt</dc:title>
  <dc:creator/>
  <dc:language>en</dc:language>
  <cp:keywords/>
  <dcterms:created xsi:type="dcterms:W3CDTF">2026-10-10T01:10:31Z</dcterms:created>
  <dcterms:modified xsi:type="dcterms:W3CDTF">2026-10-10T01:10:31Z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