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purchase-order"/>
    <w:p>
      <w:pPr>
        <w:pStyle w:val="Heading1"/>
      </w:pPr>
      <w:r>
        <w:t xml:space="preserve">PURCHASE ORDER</w:t>
      </w:r>
    </w:p>
    <w:p>
      <w:pPr>
        <w:pStyle w:val="FirstParagraph"/>
      </w:pPr>
      <w:r>
        <w:t xml:space="preserve">Professional Translator Interpreter Services – Ivory Coast Abidjan</w:t>
      </w:r>
    </w:p>
    <w:p>
      <w:pPr>
        <w:pStyle w:val="BodyText"/>
      </w:pPr>
      <w:r>
        <w:t xml:space="preserve">This</w:t>
      </w:r>
      <w:r>
        <w:t xml:space="preserve"> </w:t>
      </w:r>
      <w:r>
        <w:t xml:space="preserve">Purchase Order</w:t>
      </w:r>
      <w:r>
        <w:t xml:space="preserve"> </w:t>
      </w:r>
      <w:r>
        <w:t xml:space="preserve">is issued in accordance with the procurement policies of the undersigned organization and governs the engagement of a qualified</w:t>
      </w:r>
      <w:r>
        <w:t xml:space="preserve"> </w:t>
      </w:r>
      <w:r>
        <w:t xml:space="preserve">Translator Interpreter</w:t>
      </w:r>
      <w:r>
        <w:t xml:space="preserve"> </w:t>
      </w:r>
      <w:r>
        <w:t xml:space="preserve">for professional linguistic services to be rendered in</w:t>
      </w:r>
      <w:r>
        <w:t xml:space="preserve"> </w:t>
      </w:r>
      <w:r>
        <w:t xml:space="preserve">Ivory Coast Abidjan</w:t>
      </w:r>
      <w:r>
        <w:t xml:space="preserve">.</w:t>
      </w:r>
    </w:p>
    <w:bookmarkEnd w:id="20"/>
    <w:p>
      <w:pPr>
        <w:pStyle w:val="BodyText"/>
      </w:pPr>
      <w:r>
        <w:rPr>
          <w:bCs/>
          <w:b/>
        </w:rPr>
        <w:t xml:space="preserve">Purchase Order No.:</w:t>
      </w:r>
      <w:r>
        <w:t xml:space="preserve"> </w:t>
      </w:r>
      <w:r>
        <w:t xml:space="preserve">PO-2025-IVC-0472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Service Location:</w:t>
      </w:r>
      <w:r>
        <w:t xml:space="preserve"> </w:t>
      </w:r>
      <w:r>
        <w:t xml:space="preserve">Abidjan, Ivory Coast</w:t>
      </w:r>
      <w:r>
        <w:br/>
      </w:r>
      <w:r>
        <w:rPr>
          <w:bCs/>
          <w:b/>
        </w:rPr>
        <w:t xml:space="preserve">Project Reference:</w:t>
      </w:r>
      <w:r>
        <w:t xml:space="preserve"> </w:t>
      </w:r>
      <w:r>
        <w:t xml:space="preserve">IVC-ABJ-LING-2025</w:t>
      </w:r>
      <w:r>
        <w:br/>
      </w:r>
      <w:r>
        <w:rPr>
          <w:bCs/>
          <w:b/>
        </w:rPr>
        <w:t xml:space="preserve">Priority:</w:t>
      </w:r>
      <w:r>
        <w:t xml:space="preserve"> </w:t>
      </w:r>
      <w:r>
        <w:t xml:space="preserve">Standard</w:t>
      </w:r>
    </w:p>
    <w:p>
      <w:pPr>
        <w:pStyle w:val="BodyText"/>
      </w:pPr>
      <w:r>
        <w:t xml:space="preserve">1.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Organization Name</w:t>
            </w:r>
          </w:p>
        </w:tc>
        <w:tc>
          <w:tcPr/>
          <w:p>
            <w:pPr>
              <w:pStyle w:val="Compact"/>
              <w:jc w:val="left"/>
            </w:pPr>
            <w:r>
              <w:t xml:space="preserve">West Africa Development &amp; Trade Consortium (WADTC)</w:t>
            </w:r>
          </w:p>
        </w:tc>
      </w:tr>
      <w:tr>
        <w:tc>
          <w:tcPr/>
          <w:p>
            <w:pPr>
              <w:pStyle w:val="Compact"/>
              <w:jc w:val="left"/>
            </w:pPr>
            <w:r>
              <w:t xml:space="preserve">Address</w:t>
            </w:r>
          </w:p>
        </w:tc>
        <w:tc>
          <w:tcPr/>
          <w:p>
            <w:pPr>
              <w:pStyle w:val="Compact"/>
              <w:jc w:val="left"/>
            </w:pPr>
            <w:r>
              <w:t xml:space="preserve">Tour d'Ivoire, Boulevard VGE, Cocody, Abidjan, Ivory Coast</w:t>
            </w:r>
          </w:p>
        </w:tc>
      </w:tr>
      <w:tr>
        <w:tc>
          <w:tcPr/>
          <w:p>
            <w:pPr>
              <w:pStyle w:val="Compact"/>
              <w:jc w:val="left"/>
            </w:pPr>
            <w:r>
              <w:t xml:space="preserve">Contact Person</w:t>
            </w:r>
          </w:p>
        </w:tc>
        <w:tc>
          <w:tcPr/>
          <w:p>
            <w:pPr>
              <w:pStyle w:val="Compact"/>
              <w:jc w:val="left"/>
            </w:pPr>
            <w:r>
              <w:t xml:space="preserve">Mr. Jean-Marc Kouassi, Procurement Director</w:t>
            </w:r>
          </w:p>
        </w:tc>
      </w:tr>
      <w:tr>
        <w:tc>
          <w:tcPr/>
          <w:p>
            <w:pPr>
              <w:pStyle w:val="Compact"/>
              <w:jc w:val="left"/>
            </w:pPr>
            <w:r>
              <w:t xml:space="preserve">Email / Phone</w:t>
            </w:r>
          </w:p>
        </w:tc>
        <w:tc>
          <w:tcPr/>
          <w:p>
            <w:pPr>
              <w:pStyle w:val="Compact"/>
              <w:jc w:val="left"/>
            </w:pPr>
            <w:r>
              <w:t xml:space="preserve">procurement@wadtc-ivorycoast.com / +225 27 22 45 67 89</w:t>
            </w:r>
          </w:p>
        </w:tc>
      </w:tr>
      <w:tr>
        <w:tc>
          <w:tcPr/>
          <w:p>
            <w:pPr>
              <w:pStyle w:val="Compact"/>
              <w:jc w:val="left"/>
            </w:pPr>
            <w:r>
              <w:t xml:space="preserve">Tax Identification</w:t>
            </w:r>
          </w:p>
        </w:tc>
        <w:tc>
          <w:tcPr/>
          <w:p>
            <w:pPr>
              <w:pStyle w:val="Compact"/>
              <w:jc w:val="left"/>
            </w:pPr>
            <w:r>
              <w:t xml:space="preserve">NIF: CI-ABJ-2019-884521</w:t>
            </w:r>
          </w:p>
        </w:tc>
      </w:tr>
    </w:tbl>
    <w:p>
      <w:pPr>
        <w:pStyle w:val="BodyText"/>
      </w:pPr>
      <w:r>
        <w:t xml:space="preserve">2. Supplier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Provider Name</w:t>
            </w:r>
          </w:p>
        </w:tc>
        <w:tc>
          <w:tcPr/>
          <w:p>
            <w:pPr>
              <w:pStyle w:val="Compact"/>
              <w:jc w:val="left"/>
            </w:pPr>
            <w:r>
              <w:t xml:space="preserve">Multilingual Bridge Services SARL</w:t>
            </w:r>
          </w:p>
        </w:tc>
      </w:tr>
      <w:tr>
        <w:tc>
          <w:tcPr/>
          <w:p>
            <w:pPr>
              <w:pStyle w:val="Compact"/>
              <w:jc w:val="left"/>
            </w:pPr>
            <w:r>
              <w:t xml:space="preserve">Address</w:t>
            </w:r>
          </w:p>
        </w:tc>
        <w:tc>
          <w:tcPr/>
          <w:p>
            <w:pPr>
              <w:pStyle w:val="Compact"/>
              <w:jc w:val="left"/>
            </w:pPr>
            <w:r>
              <w:t xml:space="preserve">Immeuble Le Palmier, Rue du Commerce, Plateau, Abidjan, Ivory Coast</w:t>
            </w:r>
          </w:p>
        </w:tc>
      </w:tr>
      <w:tr>
        <w:tc>
          <w:tcPr/>
          <w:p>
            <w:pPr>
              <w:pStyle w:val="Compact"/>
              <w:jc w:val="left"/>
            </w:pPr>
            <w:r>
              <w:t xml:space="preserve">Contact Person</w:t>
            </w:r>
          </w:p>
        </w:tc>
        <w:tc>
          <w:tcPr/>
          <w:p>
            <w:pPr>
              <w:pStyle w:val="Compact"/>
              <w:jc w:val="left"/>
            </w:pPr>
            <w:r>
              <w:t xml:space="preserve">Ms. Aïcha Diabaté, Account Manager</w:t>
            </w:r>
          </w:p>
        </w:tc>
      </w:tr>
      <w:tr>
        <w:tc>
          <w:tcPr/>
          <w:p>
            <w:pPr>
              <w:pStyle w:val="Compact"/>
              <w:jc w:val="left"/>
            </w:pPr>
            <w:r>
              <w:t xml:space="preserve">Email / Phone</w:t>
            </w:r>
          </w:p>
        </w:tc>
        <w:tc>
          <w:tcPr/>
          <w:p>
            <w:pPr>
              <w:pStyle w:val="Compact"/>
              <w:jc w:val="left"/>
            </w:pPr>
            <w:r>
              <w:t xml:space="preserve">accounts@multilingualbridge.ci / +225 27 21 33 44 55</w:t>
            </w:r>
          </w:p>
        </w:tc>
      </w:tr>
      <w:tr>
        <w:tc>
          <w:tcPr/>
          <w:p>
            <w:pPr>
              <w:pStyle w:val="Compact"/>
              <w:jc w:val="left"/>
            </w:pPr>
            <w:r>
              <w:t xml:space="preserve">Registration No.</w:t>
            </w:r>
          </w:p>
        </w:tc>
        <w:tc>
          <w:tcPr/>
          <w:p>
            <w:pPr>
              <w:pStyle w:val="Compact"/>
              <w:jc w:val="left"/>
            </w:pPr>
            <w:r>
              <w:t xml:space="preserve">RC-ABJ-2021-003478</w:t>
            </w:r>
          </w:p>
        </w:tc>
      </w:tr>
    </w:tbl>
    <w:p>
      <w:pPr>
        <w:pStyle w:val="BodyText"/>
      </w:pPr>
      <w:r>
        <w:t xml:space="preserve">3. Scope of Services – Translator Interpreter Engagement</w:t>
      </w:r>
    </w:p>
    <w:p>
      <w:pPr>
        <w:pStyle w:val="BodyText"/>
      </w:pPr>
      <w:r>
        <w:t xml:space="preserve">This</w:t>
      </w:r>
      <w:r>
        <w:t xml:space="preserve"> </w:t>
      </w:r>
      <w:r>
        <w:t xml:space="preserve">Purchase Order</w:t>
      </w:r>
      <w:r>
        <w:t xml:space="preserve"> </w:t>
      </w:r>
      <w:r>
        <w:t xml:space="preserve">authorizes the procurement of professional</w:t>
      </w:r>
      <w:r>
        <w:t xml:space="preserve"> </w:t>
      </w:r>
      <w:r>
        <w:t xml:space="preserve">Translator Interpreter</w:t>
      </w:r>
      <w:r>
        <w:t xml:space="preserve"> </w:t>
      </w:r>
      <w:r>
        <w:t xml:space="preserve">services to be delivered on-site in</w:t>
      </w:r>
      <w:r>
        <w:t xml:space="preserve"> </w:t>
      </w:r>
      <w:r>
        <w:t xml:space="preserve">Ivory Coast Abidjan</w:t>
      </w:r>
      <w:r>
        <w:t xml:space="preserve">. The engaged</w:t>
      </w:r>
      <w:r>
        <w:t xml:space="preserve"> </w:t>
      </w:r>
      <w:r>
        <w:t xml:space="preserve">Translator Interpreter</w:t>
      </w:r>
      <w:r>
        <w:t xml:space="preserve"> </w:t>
      </w:r>
      <w:r>
        <w:t xml:space="preserve">shall be fluent in French (primary working language of Ivory Coast), English, and at minimum one additional language relevant to the project (Arabic or Portuguese). The</w:t>
      </w:r>
      <w:r>
        <w:t xml:space="preserve"> </w:t>
      </w:r>
      <w:r>
        <w:t xml:space="preserve">Translator Interpreter</w:t>
      </w:r>
      <w:r>
        <w:t xml:space="preserve"> </w:t>
      </w:r>
      <w:r>
        <w:t xml:space="preserve">will support all verbal and written communication needs of the Buyer during the project period, including but not limited to:</w:t>
      </w:r>
    </w:p>
    <w:p>
      <w:pPr>
        <w:numPr>
          <w:ilvl w:val="0"/>
          <w:numId w:val="1001"/>
        </w:numPr>
        <w:pStyle w:val="Compact"/>
      </w:pPr>
      <w:r>
        <w:t xml:space="preserve">Consecutive and simultaneous interpretation during board meetings, stakeholder negotiations, and regulatory hearings held in Abidjan, Ivory Coast.</w:t>
      </w:r>
    </w:p>
    <w:p>
      <w:pPr>
        <w:numPr>
          <w:ilvl w:val="0"/>
          <w:numId w:val="1001"/>
        </w:numPr>
        <w:pStyle w:val="Compact"/>
      </w:pPr>
      <w:r>
        <w:t xml:space="preserve">Real-time</w:t>
      </w:r>
      <w:r>
        <w:t xml:space="preserve"> </w:t>
      </w:r>
      <w:r>
        <w:t xml:space="preserve">Translator Interpreter</w:t>
      </w:r>
      <w:r>
        <w:t xml:space="preserve"> </w:t>
      </w:r>
      <w:r>
        <w:t xml:space="preserve">support for site inspections, factory audits, and infrastructure walkthroughs across the Abidjan metropolitan area and surrounding districts.</w:t>
      </w:r>
    </w:p>
    <w:p>
      <w:pPr>
        <w:numPr>
          <w:ilvl w:val="0"/>
          <w:numId w:val="1001"/>
        </w:numPr>
        <w:pStyle w:val="Compact"/>
      </w:pPr>
      <w:r>
        <w:t xml:space="preserve">Written translation of legal contracts, technical specifications, commercial correspondence, and government filings between French and English.</w:t>
      </w:r>
    </w:p>
    <w:p>
      <w:pPr>
        <w:numPr>
          <w:ilvl w:val="0"/>
          <w:numId w:val="1001"/>
        </w:numPr>
        <w:pStyle w:val="Compact"/>
      </w:pPr>
      <w:r>
        <w:t xml:space="preserve">Cultural mediation and protocol guidance to ensure all interactions with local authorities, community leaders, and business partners in</w:t>
      </w:r>
      <w:r>
        <w:t xml:space="preserve"> </w:t>
      </w:r>
      <w:r>
        <w:t xml:space="preserve">Ivory Coast Abidjan</w:t>
      </w:r>
      <w:r>
        <w:t xml:space="preserve"> </w:t>
      </w:r>
      <w:r>
        <w:t xml:space="preserve">are conducted with appropriate cultural sensitivity.</w:t>
      </w:r>
    </w:p>
    <w:p>
      <w:pPr>
        <w:numPr>
          <w:ilvl w:val="0"/>
          <w:numId w:val="1001"/>
        </w:numPr>
        <w:pStyle w:val="Compact"/>
      </w:pPr>
      <w:r>
        <w:t xml:space="preserve">Preparation of bilingual briefing documents and post-session summaries for the Buyer's executive team.</w:t>
      </w:r>
    </w:p>
    <w:p>
      <w:pPr>
        <w:pStyle w:val="FirstParagraph"/>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(XOF)</w:t>
            </w:r>
          </w:p>
        </w:tc>
        <w:tc>
          <w:tcPr/>
          <w:p>
            <w:pPr>
              <w:pStyle w:val="Compact"/>
              <w:jc w:val="left"/>
            </w:pPr>
            <w:r>
              <w:t xml:space="preserve">Amount (XOF)</w:t>
            </w:r>
          </w:p>
        </w:tc>
      </w:tr>
      <w:tr>
        <w:tc>
          <w:tcPr/>
          <w:p>
            <w:pPr>
              <w:pStyle w:val="Compact"/>
              <w:jc w:val="left"/>
            </w:pPr>
            <w:r>
              <w:t xml:space="preserve">01</w:t>
            </w:r>
          </w:p>
        </w:tc>
        <w:tc>
          <w:tcPr/>
          <w:p>
            <w:pPr>
              <w:pStyle w:val="Compact"/>
              <w:jc w:val="left"/>
            </w:pPr>
            <w:r>
              <w:t xml:space="preserve">Translator Interpreter – On-site interpretation (French/English), Abidjan, Ivory Coast</w:t>
            </w:r>
          </w:p>
        </w:tc>
        <w:tc>
          <w:tcPr/>
          <w:p>
            <w:pPr>
              <w:pStyle w:val="Compact"/>
              <w:jc w:val="left"/>
            </w:pPr>
            <w:r>
              <w:t xml:space="preserve">120</w:t>
            </w:r>
          </w:p>
        </w:tc>
        <w:tc>
          <w:tcPr/>
          <w:p>
            <w:pPr>
              <w:pStyle w:val="Compact"/>
              <w:jc w:val="left"/>
            </w:pPr>
            <w:r>
              <w:t xml:space="preserve">Hours</w:t>
            </w:r>
          </w:p>
        </w:tc>
        <w:tc>
          <w:tcPr/>
          <w:p>
            <w:pPr>
              <w:pStyle w:val="Compact"/>
              <w:jc w:val="left"/>
            </w:pPr>
            <w:r>
              <w:t xml:space="preserve">45,000</w:t>
            </w:r>
          </w:p>
        </w:tc>
        <w:tc>
          <w:tcPr/>
          <w:p>
            <w:pPr>
              <w:pStyle w:val="Compact"/>
              <w:jc w:val="left"/>
            </w:pPr>
            <w:r>
              <w:t xml:space="preserve">5,400,000</w:t>
            </w:r>
          </w:p>
        </w:tc>
      </w:tr>
      <w:tr>
        <w:tc>
          <w:tcPr/>
          <w:p>
            <w:pPr>
              <w:pStyle w:val="Compact"/>
              <w:jc w:val="left"/>
            </w:pPr>
            <w:r>
              <w:t xml:space="preserve">02</w:t>
            </w:r>
          </w:p>
        </w:tc>
        <w:tc>
          <w:tcPr/>
          <w:p>
            <w:pPr>
              <w:pStyle w:val="Compact"/>
              <w:jc w:val="left"/>
            </w:pPr>
            <w:r>
              <w:t xml:space="preserve">Translator Interpreter – Written document translation (legal &amp; technical), per page</w:t>
            </w:r>
          </w:p>
        </w:tc>
        <w:tc>
          <w:tcPr/>
          <w:p>
            <w:pPr>
              <w:pStyle w:val="Compact"/>
              <w:jc w:val="left"/>
            </w:pPr>
            <w:r>
              <w:t xml:space="preserve">350</w:t>
            </w:r>
          </w:p>
        </w:tc>
        <w:tc>
          <w:tcPr/>
          <w:p>
            <w:pPr>
              <w:pStyle w:val="Compact"/>
              <w:jc w:val="left"/>
            </w:pPr>
            <w:r>
              <w:t xml:space="preserve">Pages</w:t>
            </w:r>
          </w:p>
        </w:tc>
        <w:tc>
          <w:tcPr/>
          <w:p>
            <w:pPr>
              <w:pStyle w:val="Compact"/>
              <w:jc w:val="left"/>
            </w:pPr>
            <w:r>
              <w:t xml:space="preserve">12,000</w:t>
            </w:r>
          </w:p>
        </w:tc>
        <w:tc>
          <w:tcPr/>
          <w:p>
            <w:pPr>
              <w:pStyle w:val="Compact"/>
              <w:jc w:val="left"/>
            </w:pPr>
            <w:r>
              <w:t xml:space="preserve">4,200,000</w:t>
            </w:r>
          </w:p>
        </w:tc>
      </w:tr>
      <w:tr>
        <w:tc>
          <w:tcPr/>
          <w:p>
            <w:pPr>
              <w:pStyle w:val="Compact"/>
              <w:jc w:val="left"/>
            </w:pPr>
            <w:r>
              <w:t xml:space="preserve">03</w:t>
            </w:r>
          </w:p>
        </w:tc>
        <w:tc>
          <w:tcPr/>
          <w:p>
            <w:pPr>
              <w:pStyle w:val="Compact"/>
              <w:jc w:val="left"/>
            </w:pPr>
            <w:r>
              <w:t xml:space="preserve">Translator Interpreter – Simultaneous interpretation (conference setup, 2-day event, Abidjan)</w:t>
            </w:r>
          </w:p>
        </w:tc>
        <w:tc>
          <w:tcPr/>
          <w:p>
            <w:pPr>
              <w:pStyle w:val="Compact"/>
              <w:jc w:val="left"/>
            </w:pPr>
            <w:r>
              <w:t xml:space="preserve">2</w:t>
            </w:r>
          </w:p>
        </w:tc>
        <w:tc>
          <w:tcPr/>
          <w:p>
            <w:pPr>
              <w:pStyle w:val="Compact"/>
              <w:jc w:val="left"/>
            </w:pPr>
            <w:r>
              <w:t xml:space="preserve">Days</w:t>
            </w:r>
          </w:p>
        </w:tc>
        <w:tc>
          <w:tcPr/>
          <w:p>
            <w:pPr>
              <w:pStyle w:val="Compact"/>
              <w:jc w:val="left"/>
            </w:pPr>
            <w:r>
              <w:t xml:space="preserve">350,000</w:t>
            </w:r>
          </w:p>
        </w:tc>
        <w:tc>
          <w:tcPr/>
          <w:p>
            <w:pPr>
              <w:pStyle w:val="Compact"/>
              <w:jc w:val="left"/>
            </w:pPr>
            <w:r>
              <w:t xml:space="preserve">700,000</w:t>
            </w:r>
          </w:p>
        </w:tc>
      </w:tr>
      <w:tr>
        <w:tc>
          <w:tcPr/>
          <w:p>
            <w:pPr>
              <w:pStyle w:val="Compact"/>
              <w:jc w:val="left"/>
            </w:pPr>
            <w:r>
              <w:t xml:space="preserve">04</w:t>
            </w:r>
          </w:p>
        </w:tc>
        <w:tc>
          <w:tcPr/>
          <w:p>
            <w:pPr>
              <w:pStyle w:val="Compact"/>
              <w:jc w:val="left"/>
            </w:pPr>
            <w:r>
              <w:t xml:space="preserve">Translator Interpreter – After-hours / weekend availability surcharge</w:t>
            </w:r>
          </w:p>
        </w:tc>
        <w:tc>
          <w:tcPr/>
          <w:p>
            <w:pPr>
              <w:pStyle w:val="Compact"/>
              <w:jc w:val="left"/>
            </w:pPr>
            <w:r>
              <w:t xml:space="preserve">24</w:t>
            </w:r>
          </w:p>
        </w:tc>
        <w:tc>
          <w:tcPr/>
          <w:p>
            <w:pPr>
              <w:pStyle w:val="Compact"/>
              <w:jc w:val="left"/>
            </w:pPr>
            <w:r>
              <w:t xml:space="preserve">Hours</w:t>
            </w:r>
          </w:p>
        </w:tc>
        <w:tc>
          <w:tcPr/>
          <w:p>
            <w:pPr>
              <w:pStyle w:val="Compact"/>
              <w:jc w:val="left"/>
            </w:pPr>
            <w:r>
              <w:t xml:space="preserve">67,500</w:t>
            </w:r>
          </w:p>
        </w:tc>
        <w:tc>
          <w:tcPr/>
          <w:p>
            <w:pPr>
              <w:pStyle w:val="Compact"/>
              <w:jc w:val="left"/>
            </w:pPr>
            <w:r>
              <w:t xml:space="preserve">1,620,000</w:t>
            </w:r>
          </w:p>
        </w:tc>
      </w:tr>
      <w:tr>
        <w:tc>
          <w:tcPr/>
          <w:p>
            <w:pPr>
              <w:pStyle w:val="Compact"/>
              <w:jc w:val="left"/>
            </w:pPr>
            <w:r>
              <w:t xml:space="preserve">05</w:t>
            </w:r>
          </w:p>
        </w:tc>
        <w:tc>
          <w:tcPr/>
          <w:p>
            <w:pPr>
              <w:pStyle w:val="Compact"/>
              <w:jc w:val="left"/>
            </w:pPr>
            <w:r>
              <w:t xml:space="preserve">Translator Interpreter – Cultural protocol briefing &amp; orientation session</w:t>
            </w:r>
          </w:p>
        </w:tc>
        <w:tc>
          <w:tcPr/>
          <w:p>
            <w:pPr>
              <w:pStyle w:val="Compact"/>
              <w:jc w:val="left"/>
            </w:pPr>
            <w:r>
              <w:t xml:space="preserve">1</w:t>
            </w:r>
          </w:p>
        </w:tc>
        <w:tc>
          <w:tcPr/>
          <w:p>
            <w:pPr>
              <w:pStyle w:val="Compact"/>
              <w:jc w:val="left"/>
            </w:pPr>
            <w:r>
              <w:t xml:space="preserve">Session</w:t>
            </w:r>
          </w:p>
        </w:tc>
        <w:tc>
          <w:tcPr/>
          <w:p>
            <w:pPr>
              <w:pStyle w:val="Compact"/>
              <w:jc w:val="left"/>
            </w:pPr>
            <w:r>
              <w:t xml:space="preserve">150,000</w:t>
            </w:r>
          </w:p>
        </w:tc>
        <w:tc>
          <w:tcPr/>
          <w:p>
            <w:pPr>
              <w:pStyle w:val="Compact"/>
              <w:jc w:val="left"/>
            </w:pPr>
            <w:r>
              <w:t xml:space="preserve">150,000</w:t>
            </w:r>
          </w:p>
        </w:tc>
      </w:tr>
      <w:tr>
        <w:tc>
          <w:tcPr>
            <w:gridSpan w:val="5"/>
          </w:tcPr>
          <w:p>
            <w:pPr>
              <w:pStyle w:val="Compact"/>
              <w:jc w:val="right"/>
            </w:pPr>
            <w:r>
              <w:t xml:space="preserve">Subtotal (XOF)</w:t>
            </w:r>
          </w:p>
        </w:tc>
        <w:tc>
          <w:tcPr/>
          <w:p>
            <w:pPr>
              <w:pStyle w:val="Compact"/>
              <w:jc w:val="left"/>
            </w:pPr>
            <w:r>
              <w:t xml:space="preserve">12,070,000</w:t>
            </w:r>
          </w:p>
        </w:tc>
      </w:tr>
      <w:tr>
        <w:tc>
          <w:tcPr>
            <w:gridSpan w:val="5"/>
          </w:tcPr>
          <w:p>
            <w:pPr>
              <w:pStyle w:val="Compact"/>
              <w:jc w:val="right"/>
            </w:pPr>
            <w:r>
              <w:t xml:space="preserve">VAT (18%)</w:t>
            </w:r>
          </w:p>
        </w:tc>
        <w:tc>
          <w:tcPr/>
          <w:p>
            <w:pPr>
              <w:pStyle w:val="Compact"/>
              <w:jc w:val="left"/>
            </w:pPr>
            <w:r>
              <w:t xml:space="preserve">2,172,600</w:t>
            </w:r>
          </w:p>
        </w:tc>
      </w:tr>
      <w:tr>
        <w:tc>
          <w:tcPr>
            <w:gridSpan w:val="5"/>
          </w:tcPr>
          <w:p>
            <w:pPr>
              <w:pStyle w:val="Compact"/>
              <w:jc w:val="right"/>
            </w:pPr>
            <w:r>
              <w:t xml:space="preserve">TOTAL AMOUNT DUE (XOF)</w:t>
            </w:r>
          </w:p>
        </w:tc>
        <w:tc>
          <w:tcPr/>
          <w:p>
            <w:pPr>
              <w:pStyle w:val="Compact"/>
              <w:jc w:val="left"/>
            </w:pPr>
            <w:r>
              <w:t xml:space="preserve">14,242,600</w:t>
            </w:r>
          </w:p>
        </w:tc>
      </w:tr>
    </w:tbl>
    <w:p>
      <w:pPr>
        <w:pStyle w:val="BodyText"/>
      </w:pPr>
      <w:r>
        <w:t xml:space="preserve">5. Terms and Conditions</w:t>
      </w:r>
    </w:p>
    <w:p>
      <w:pPr>
        <w:numPr>
          <w:ilvl w:val="0"/>
          <w:numId w:val="1002"/>
        </w:numPr>
        <w:pStyle w:val="Compact"/>
      </w:pPr>
      <w:r>
        <w:rPr>
          <w:bCs/>
          <w:b/>
        </w:rPr>
        <w:t xml:space="preserve">Acceptance:</w:t>
      </w:r>
      <w:r>
        <w:t xml:space="preserve"> </w:t>
      </w:r>
      <w:r>
        <w:t xml:space="preserve">This</w:t>
      </w:r>
      <w:r>
        <w:t xml:space="preserve"> </w:t>
      </w:r>
      <w:r>
        <w:t xml:space="preserve">Purchase Order</w:t>
      </w:r>
      <w:r>
        <w:t xml:space="preserve"> </w:t>
      </w:r>
      <w:r>
        <w:t xml:space="preserve">becomes a binding agreement upon written acceptance by the Supplier. The Supplier must confirm acceptance within five (5) business days of receipt. Failure to confirm within this period shall render this</w:t>
      </w:r>
      <w:r>
        <w:t xml:space="preserve"> </w:t>
      </w:r>
      <w:r>
        <w:t xml:space="preserve">Purchase Order</w:t>
      </w:r>
      <w:r>
        <w:t xml:space="preserve"> </w:t>
      </w:r>
      <w:r>
        <w:t xml:space="preserve">null and void.</w:t>
      </w:r>
    </w:p>
    <w:p>
      <w:pPr>
        <w:numPr>
          <w:ilvl w:val="0"/>
          <w:numId w:val="1002"/>
        </w:numPr>
        <w:pStyle w:val="Compact"/>
      </w:pPr>
      <w:r>
        <w:rPr>
          <w:bCs/>
          <w:b/>
        </w:rPr>
        <w:t xml:space="preserve">Service Delivery:</w:t>
      </w:r>
      <w:r>
        <w:t xml:space="preserve"> </w:t>
      </w:r>
      <w:r>
        <w:t xml:space="preserve">All</w:t>
      </w:r>
      <w:r>
        <w:t xml:space="preserve"> </w:t>
      </w:r>
      <w:r>
        <w:t xml:space="preserve">Translator Interpreter</w:t>
      </w:r>
      <w:r>
        <w:t xml:space="preserve"> </w:t>
      </w:r>
      <w:r>
        <w:t xml:space="preserve">services shall be performed in</w:t>
      </w:r>
      <w:r>
        <w:t xml:space="preserve"> </w:t>
      </w:r>
      <w:r>
        <w:t xml:space="preserve">Ivory Coast Abidjan</w:t>
      </w:r>
      <w:r>
        <w:t xml:space="preserve"> </w:t>
      </w:r>
      <w:r>
        <w:t xml:space="preserve">unless otherwise agreed in writing. The</w:t>
      </w:r>
      <w:r>
        <w:t xml:space="preserve"> </w:t>
      </w:r>
      <w:r>
        <w:t xml:space="preserve">Translator Interpreter</w:t>
      </w:r>
      <w:r>
        <w:t xml:space="preserve"> </w:t>
      </w:r>
      <w:r>
        <w:t xml:space="preserve">must be available on-site at the Buyer's designated location no later than thirty (30) minutes prior to the scheduled start of any engagement.</w:t>
      </w:r>
    </w:p>
    <w:p>
      <w:pPr>
        <w:numPr>
          <w:ilvl w:val="0"/>
          <w:numId w:val="1002"/>
        </w:numPr>
        <w:pStyle w:val="Compact"/>
      </w:pPr>
      <w:r>
        <w:rPr>
          <w:bCs/>
          <w:b/>
        </w:rPr>
        <w:t xml:space="preserve">Qualifications:</w:t>
      </w:r>
      <w:r>
        <w:t xml:space="preserve"> </w:t>
      </w:r>
      <w:r>
        <w:t xml:space="preserve">The</w:t>
      </w:r>
      <w:r>
        <w:t xml:space="preserve"> </w:t>
      </w:r>
      <w:r>
        <w:t xml:space="preserve">Translator Interpreter</w:t>
      </w:r>
      <w:r>
        <w:t xml:space="preserve"> </w:t>
      </w:r>
      <w:r>
        <w:t xml:space="preserve">assigned to this</w:t>
      </w:r>
    </w:p>
    <w:p>
      <w:pPr>
        <w:numPr>
          <w:ilvl w:val="0"/>
          <w:numId w:val="1000"/>
        </w:numPr>
        <w:pStyle w:val="Compact"/>
      </w:pPr>
      <w:r>
        <w:t xml:space="preserve">Purchase Order must hold a minimum of a Bachelor's degree in Translation, Linguistics, or a related field, possess at least five (5) years of professional experience in the Abidjan, Ivory Coast market, and demonstrate certified proficiency in French and English (CEFR C1 or equivalent). The Supplier shall provide proof of qualifications prior to the commencement of services.</w:t>
      </w:r>
    </w:p>
    <w:p>
      <w:pPr>
        <w:numPr>
          <w:ilvl w:val="0"/>
          <w:numId w:val="1002"/>
        </w:numPr>
        <w:pStyle w:val="Compact"/>
      </w:pPr>
      <w:r>
        <w:rPr>
          <w:bCs/>
          <w:b/>
        </w:rPr>
        <w:t xml:space="preserve">Confidentiality:</w:t>
      </w:r>
      <w:r>
        <w:t xml:space="preserve"> </w:t>
      </w:r>
      <w:r>
        <w:t xml:space="preserve">The</w:t>
      </w:r>
      <w:r>
        <w:t xml:space="preserve"> </w:t>
      </w:r>
      <w:r>
        <w:t xml:space="preserve">Translator Interpreter</w:t>
      </w:r>
      <w:r>
        <w:t xml:space="preserve"> </w:t>
      </w:r>
      <w:r>
        <w:t xml:space="preserve">shall sign a Non-Disclosure Agreement (NDA) prior to accessing any Buyer documents. All materials, recordings, and notes related to this</w:t>
      </w:r>
      <w:r>
        <w:t xml:space="preserve"> </w:t>
      </w:r>
      <w:r>
        <w:t xml:space="preserve">Purchase Order</w:t>
      </w:r>
      <w:r>
        <w:t xml:space="preserve"> </w:t>
      </w:r>
      <w:r>
        <w:t xml:space="preserve">engagement in</w:t>
      </w:r>
      <w:r>
        <w:t xml:space="preserve"> </w:t>
      </w:r>
      <w:r>
        <w:t xml:space="preserve">Ivory Coast Abidjan</w:t>
      </w:r>
      <w:r>
        <w:t xml:space="preserve"> </w:t>
      </w:r>
      <w:r>
        <w:t xml:space="preserve">shall be treated as strictly confidential and returned or destroyed upon project completion.</w:t>
      </w:r>
    </w:p>
    <w:p>
      <w:pPr>
        <w:numPr>
          <w:ilvl w:val="0"/>
          <w:numId w:val="1002"/>
        </w:numPr>
        <w:pStyle w:val="Compact"/>
      </w:pPr>
      <w:r>
        <w:rPr>
          <w:bCs/>
          <w:b/>
        </w:rPr>
        <w:t xml:space="preserve">Payment Terms:</w:t>
      </w:r>
      <w:r>
        <w:t xml:space="preserve"> </w:t>
      </w:r>
      <w:r>
        <w:t xml:space="preserve">Payment shall be made within thirty (30) days of receipt of a valid invoice. Invoices must reference this</w:t>
      </w:r>
      <w:r>
        <w:t xml:space="preserve"> </w:t>
      </w:r>
      <w:r>
        <w:t xml:space="preserve">Purchase Order</w:t>
      </w:r>
      <w:r>
        <w:t xml:space="preserve"> </w:t>
      </w:r>
      <w:r>
        <w:t xml:space="preserve">number (PO-2025-IVC-0472). Payment shall be made via bank transfer to the Supplier's designated account in Ivory Coast. Late payments shall incur a penalty of 1.5% per month.</w:t>
      </w:r>
    </w:p>
    <w:p>
      <w:pPr>
        <w:numPr>
          <w:ilvl w:val="0"/>
          <w:numId w:val="1002"/>
        </w:numPr>
        <w:pStyle w:val="Compact"/>
      </w:pPr>
      <w:r>
        <w:rPr>
          <w:bCs/>
          <w:b/>
        </w:rPr>
        <w:t xml:space="preserve">Performance Standards:</w:t>
      </w:r>
      <w:r>
        <w:t xml:space="preserve"> </w:t>
      </w:r>
      <w:r>
        <w:t xml:space="preserve">The</w:t>
      </w:r>
      <w:r>
        <w:t xml:space="preserve"> </w:t>
      </w:r>
      <w:r>
        <w:t xml:space="preserve">Translator Interpreter</w:t>
      </w:r>
      <w:r>
        <w:t xml:space="preserve"> </w:t>
      </w:r>
      <w:r>
        <w:t xml:space="preserve">is expected to maintain a minimum accuracy rate of 95% for all interpreted and translated content. The Buyer reserves the right to request a replacement</w:t>
      </w:r>
      <w:r>
        <w:t xml:space="preserve"> </w:t>
      </w:r>
      <w:r>
        <w:t xml:space="preserve">Translator Interpreter</w:t>
      </w:r>
      <w:r>
        <w:t xml:space="preserve"> </w:t>
      </w:r>
      <w:r>
        <w:t xml:space="preserve">if performance falls below the agreed standard, with no additional cost to the Buyer.</w:t>
      </w:r>
    </w:p>
    <w:p>
      <w:pPr>
        <w:numPr>
          <w:ilvl w:val="0"/>
          <w:numId w:val="1002"/>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fourteen (14) days' written notice. In the event of termination, the Buyer shall pay for all</w:t>
      </w:r>
      <w:r>
        <w:t xml:space="preserve"> </w:t>
      </w:r>
      <w:r>
        <w:t xml:space="preserve">Translator Interpreter</w:t>
      </w:r>
      <w:r>
        <w:t xml:space="preserve"> </w:t>
      </w:r>
      <w:r>
        <w:t xml:space="preserve">services rendered up to the effective date of termination.</w:t>
      </w:r>
    </w:p>
    <w:p>
      <w:pPr>
        <w:numPr>
          <w:ilvl w:val="0"/>
          <w:numId w:val="1002"/>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Republic of Ivory Coast. Any disputes arising from this</w:t>
      </w:r>
      <w:r>
        <w:t xml:space="preserve"> </w:t>
      </w:r>
      <w:r>
        <w:t xml:space="preserve">Purchase Order</w:t>
      </w:r>
      <w:r>
        <w:t xml:space="preserve"> </w:t>
      </w:r>
      <w:r>
        <w:t xml:space="preserve">shall be resolved through arbitration in Abidjan, Ivory Coast, in accordance with the rules of the Ivorian Chamber of Commerce.</w:t>
      </w:r>
    </w:p>
    <w:p>
      <w:pPr>
        <w:numPr>
          <w:ilvl w:val="0"/>
          <w:numId w:val="1002"/>
        </w:numPr>
        <w:pStyle w:val="Compact"/>
      </w:pPr>
      <w:r>
        <w:rPr>
          <w:bCs/>
          <w:b/>
        </w:rPr>
        <w:t xml:space="preserve">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events beyond reasonable control, including but not limited to natural disasters, civil unrest in</w:t>
      </w:r>
      <w:r>
        <w:t xml:space="preserve"> </w:t>
      </w:r>
      <w:r>
        <w:t xml:space="preserve">Ivory Coast Abidjan</w:t>
      </w:r>
      <w:r>
        <w:t xml:space="preserve">, government-imposed travel restrictions, or pandemics.</w:t>
      </w:r>
    </w:p>
    <w:p>
      <w:pPr>
        <w:pStyle w:val="FirstParagraph"/>
      </w:pPr>
      <w:r>
        <w:t xml:space="preserve">6. Authorized Signatures</w:t>
      </w:r>
    </w:p>
    <w:p>
      <w:pPr>
        <w:pStyle w:val="BodyText"/>
      </w:pPr>
      <w:r>
        <w:rPr>
          <w:bCs/>
          <w:b/>
        </w:rPr>
        <w:t xml:space="preserve">For and on behalf of the Buyer:</w:t>
      </w:r>
    </w:p>
    <w:p>
      <w:pPr>
        <w:pStyle w:val="BodyText"/>
      </w:pPr>
      <w:r>
        <w:t xml:space="preserve">West Africa Development &amp; Trade Consortium</w:t>
      </w:r>
    </w:p>
    <w:p>
      <w:pPr>
        <w:pStyle w:val="BodyText"/>
      </w:pPr>
      <w:r>
        <w:t xml:space="preserve">Name: Jean-Marc Kouassi</w:t>
      </w:r>
      <w:r>
        <w:br/>
      </w:r>
      <w:r>
        <w:t xml:space="preserve">Title: Procurement Director</w:t>
      </w:r>
      <w:r>
        <w:br/>
      </w:r>
      <w:r>
        <w:t xml:space="preserve">Signature: _________________________</w:t>
      </w:r>
      <w:r>
        <w:br/>
      </w:r>
      <w:r>
        <w:t xml:space="preserve">Date: _________________________</w:t>
      </w:r>
    </w:p>
    <w:p>
      <w:pPr>
        <w:pStyle w:val="BodyText"/>
      </w:pPr>
      <w:r>
        <w:rPr>
          <w:bCs/>
          <w:b/>
        </w:rPr>
        <w:t xml:space="preserve">For and on behalf of the Supplier:</w:t>
      </w:r>
    </w:p>
    <w:p>
      <w:pPr>
        <w:pStyle w:val="BodyText"/>
      </w:pPr>
      <w:r>
        <w:t xml:space="preserve">Multilingual Bridge Services SARL</w:t>
      </w:r>
    </w:p>
    <w:p>
      <w:pPr>
        <w:pStyle w:val="BodyText"/>
      </w:pPr>
      <w:r>
        <w:t xml:space="preserve">Name: Aïcha Diabaté</w:t>
      </w:r>
      <w:r>
        <w:br/>
      </w:r>
      <w:r>
        <w:t xml:space="preserve">Title: Account Manager</w:t>
      </w:r>
      <w:r>
        <w:br/>
      </w:r>
      <w:r>
        <w:t xml:space="preserve">Signature: _________________________</w:t>
      </w:r>
      <w:r>
        <w:br/>
      </w:r>
      <w:r>
        <w:t xml:space="preserve">Date: _________________________</w:t>
      </w:r>
    </w:p>
    <w:p>
      <w:pPr>
        <w:pStyle w:val="BodyText"/>
      </w:pPr>
      <w:r>
        <w:t xml:space="preserve">This</w:t>
      </w:r>
      <w:r>
        <w:t xml:space="preserve"> </w:t>
      </w:r>
      <w:r>
        <w:t xml:space="preserve">Purchase Order</w:t>
      </w:r>
      <w:r>
        <w:t xml:space="preserve"> </w:t>
      </w:r>
      <w:r>
        <w:t xml:space="preserve">(PO-2025-IVC-0472) constitutes the complete and final agreement between the parties regarding the engagement of a</w:t>
      </w:r>
      <w:r>
        <w:t xml:space="preserve"> </w:t>
      </w:r>
      <w:r>
        <w:t xml:space="preserve">Translator Interpreter</w:t>
      </w:r>
      <w:r>
        <w:t xml:space="preserve"> </w:t>
      </w:r>
      <w:r>
        <w:t xml:space="preserve">for professional linguistic services in</w:t>
      </w:r>
      <w:r>
        <w:t xml:space="preserve"> </w:t>
      </w:r>
      <w:r>
        <w:t xml:space="preserve">Ivory Coast Abidjan</w:t>
      </w:r>
      <w:r>
        <w:t xml:space="preserve">. No verbal modifications shall be valid unless confirmed in writing and appended to this document. This document is printed in duplicate; one copy retained by the Buyer and one copy issued to the Supplier.</w:t>
      </w:r>
    </w:p>
    <w:p>
      <w:pPr>
        <w:pStyle w:val="BodyText"/>
      </w:pPr>
      <w:r>
        <w:t xml:space="preserve">Document generated: 14 June 2025 | Version 1.0 | 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Translator Interpreter Services - Ivory Coast Abidjan</dc:title>
  <dc:creator/>
  <dc:language>en</dc:language>
  <cp:keywords/>
  <dcterms:created xsi:type="dcterms:W3CDTF">2026-10-10T06:58:44Z</dcterms:created>
  <dcterms:modified xsi:type="dcterms:W3CDTF">2026-10-10T06:58:44Z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