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Official Procurement Document for Professional Language Services</w:t>
      </w:r>
    </w:p>
    <w:bookmarkEnd w:id="20"/>
    <w:tbl>
      <w:tblPr>
        <w:tblStyle w:val="Table"/>
        <w:tblW w:type="pct" w:w="5000"/>
        <w:tblLook w:firstRow="0" w:lastRow="0" w:firstColumn="0" w:lastColumn="0" w:noHBand="0" w:noVBand="0" w:val="0000"/>
      </w:tblPr>
      <w:tblGrid>
        <w:gridCol w:w="3960"/>
        <w:gridCol w:w="3960"/>
      </w:tblGrid>
      <w:tr>
        <w:tc>
          <w:tcPr/>
          <w:p>
            <w:pPr>
              <w:jc w:val="left"/>
            </w:pPr>
            <w:r>
              <w:rPr>
                <w:bCs/>
                <w:b/>
              </w:rPr>
              <w:t xml:space="preserve">Purchase Order Number:</w:t>
            </w:r>
            <w:r>
              <w:t xml:space="preserve"> </w:t>
            </w:r>
            <w:r>
              <w:t xml:space="preserve">PO-KWT-2025-04872</w:t>
            </w:r>
          </w:p>
          <w:p>
            <w:pPr>
              <w:jc w:val="left"/>
            </w:pPr>
            <w:r>
              <w:rPr>
                <w:bCs/>
                <w:b/>
              </w:rPr>
              <w:t xml:space="preserve">Date of Issue:</w:t>
            </w:r>
            <w:r>
              <w:t xml:space="preserve"> </w:t>
            </w:r>
            <w:r>
              <w:t xml:space="preserve">15 June 2025</w:t>
            </w:r>
          </w:p>
          <w:p>
            <w:pPr>
              <w:jc w:val="left"/>
            </w:pPr>
            <w:r>
              <w:rPr>
                <w:bCs/>
                <w:b/>
              </w:rPr>
              <w:t xml:space="preserve">Required Delivery Date:</w:t>
            </w:r>
            <w:r>
              <w:t xml:space="preserve"> </w:t>
            </w:r>
            <w:r>
              <w:t xml:space="preserve">01 July 2025</w:t>
            </w:r>
          </w:p>
          <w:p>
            <w:pPr>
              <w:jc w:val="left"/>
            </w:pPr>
            <w:r>
              <w:rPr>
                <w:bCs/>
                <w:b/>
              </w:rPr>
              <w:t xml:space="preserve">Valid Until:</w:t>
            </w:r>
            <w:r>
              <w:t xml:space="preserve"> </w:t>
            </w:r>
            <w:r>
              <w:t xml:space="preserve">31 July 2025</w:t>
            </w:r>
          </w:p>
        </w:tc>
        <w:tc>
          <w:tcPr/>
          <w:p>
            <w:pPr>
              <w:jc w:val="left"/>
            </w:pPr>
            <w:r>
              <w:rPr>
                <w:bCs/>
                <w:b/>
              </w:rPr>
              <w:t xml:space="preserve">Issuing Authority:</w:t>
            </w:r>
            <w:r>
              <w:t xml:space="preserve"> </w:t>
            </w:r>
            <w:r>
              <w:t xml:space="preserve">Ministry of Commerce &amp; Industry</w:t>
            </w:r>
          </w:p>
          <w:p>
            <w:pPr>
              <w:jc w:val="left"/>
            </w:pPr>
            <w:r>
              <w:rPr>
                <w:bCs/>
                <w:b/>
              </w:rPr>
              <w:t xml:space="preserve">Department:</w:t>
            </w:r>
            <w:r>
              <w:t xml:space="preserve"> </w:t>
            </w:r>
            <w:r>
              <w:t xml:space="preserve">International Affairs &amp; Translation Division</w:t>
            </w:r>
          </w:p>
          <w:p>
            <w:pPr>
              <w:jc w:val="left"/>
            </w:pPr>
            <w:r>
              <w:rPr>
                <w:bCs/>
                <w:b/>
              </w:rPr>
              <w:t xml:space="preserve">Location of Service:</w:t>
            </w:r>
            <w:r>
              <w:t xml:space="preserve"> </w:t>
            </w:r>
            <w:r>
              <w:t xml:space="preserve">Kuwait, Kuwait City</w:t>
            </w:r>
          </w:p>
          <w:p>
            <w:pPr>
              <w:jc w:val="left"/>
            </w:pPr>
            <w:r>
              <w:rPr>
                <w:bCs/>
                <w:b/>
              </w:rPr>
              <w:t xml:space="preserve">Payment Terms:</w:t>
            </w:r>
            <w:r>
              <w:t xml:space="preserve"> </w:t>
            </w:r>
            <w:r>
              <w:t xml:space="preserve">Net 30 Days</w:t>
            </w:r>
          </w:p>
        </w:tc>
      </w:tr>
    </w:tbl>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(Service Provider)</w:t>
            </w:r>
          </w:p>
        </w:tc>
      </w:tr>
      <w:tr>
        <w:tc>
          <w:tcPr/>
          <w:p>
            <w:pPr>
              <w:jc w:val="left"/>
            </w:pPr>
            <w:r>
              <w:rPr>
                <w:bCs/>
                <w:b/>
              </w:rPr>
              <w:t xml:space="preserve">Name:</w:t>
            </w:r>
            <w:r>
              <w:t xml:space="preserve"> </w:t>
            </w:r>
            <w:r>
              <w:t xml:space="preserve">Kuwait Government Procurement Authority</w:t>
            </w:r>
          </w:p>
          <w:p>
            <w:pPr>
              <w:jc w:val="left"/>
            </w:pPr>
            <w:r>
              <w:rPr>
                <w:bCs/>
                <w:b/>
              </w:rPr>
              <w:t xml:space="preserve">Address:</w:t>
            </w:r>
            <w:r>
              <w:t xml:space="preserve"> </w:t>
            </w:r>
            <w:r>
              <w:t xml:space="preserve">Al Fahaheel District, Kuwait, Kuwait City</w:t>
            </w:r>
          </w:p>
          <w:p>
            <w:pPr>
              <w:jc w:val="left"/>
            </w:pPr>
            <w:r>
              <w:rPr>
                <w:bCs/>
                <w:b/>
              </w:rPr>
              <w:t xml:space="preserve">Contact:</w:t>
            </w:r>
            <w:r>
              <w:t xml:space="preserve"> </w:t>
            </w:r>
            <w:r>
              <w:t xml:space="preserve">procurement@kgoa.gov.kw</w:t>
            </w:r>
          </w:p>
          <w:p>
            <w:pPr>
              <w:jc w:val="left"/>
            </w:pPr>
            <w:r>
              <w:rPr>
                <w:bCs/>
                <w:b/>
              </w:rPr>
              <w:t xml:space="preserve">Tax Registration No.:</w:t>
            </w:r>
            <w:r>
              <w:t xml:space="preserve"> </w:t>
            </w:r>
            <w:r>
              <w:t xml:space="preserve">KWT-TR-8821456</w:t>
            </w:r>
          </w:p>
        </w:tc>
        <w:tc>
          <w:tcPr/>
          <w:p>
            <w:pPr>
              <w:jc w:val="left"/>
            </w:pPr>
            <w:r>
              <w:rPr>
                <w:bCs/>
                <w:b/>
              </w:rPr>
              <w:t xml:space="preserve">Name:</w:t>
            </w:r>
            <w:r>
              <w:t xml:space="preserve"> </w:t>
            </w:r>
            <w:r>
              <w:t xml:space="preserve">Gulf Linguistic Solutions LLC</w:t>
            </w:r>
          </w:p>
          <w:p>
            <w:pPr>
              <w:jc w:val="left"/>
            </w:pPr>
            <w:r>
              <w:rPr>
                <w:bCs/>
                <w:b/>
              </w:rPr>
              <w:t xml:space="preserve">Address:</w:t>
            </w:r>
            <w:r>
              <w:t xml:space="preserve"> </w:t>
            </w:r>
            <w:r>
              <w:t xml:space="preserve">Al Salmiya Business Park, Kuwait, Kuwait City</w:t>
            </w:r>
          </w:p>
          <w:p>
            <w:pPr>
              <w:jc w:val="left"/>
            </w:pPr>
            <w:r>
              <w:rPr>
                <w:bCs/>
                <w:b/>
              </w:rPr>
              <w:t xml:space="preserve">Contact:</w:t>
            </w:r>
            <w:r>
              <w:t xml:space="preserve"> </w:t>
            </w:r>
            <w:r>
              <w:t xml:space="preserve">contracts@gulflingua.com</w:t>
            </w:r>
          </w:p>
          <w:p>
            <w:pPr>
              <w:jc w:val="left"/>
            </w:pPr>
            <w:r>
              <w:rPr>
                <w:bCs/>
                <w:b/>
              </w:rPr>
              <w:t xml:space="preserve">Commercial Registration No.:</w:t>
            </w:r>
            <w:r>
              <w:t xml:space="preserve"> </w:t>
            </w:r>
            <w:r>
              <w:t xml:space="preserve">CR-2019-44782</w:t>
            </w:r>
          </w:p>
        </w:tc>
      </w:tr>
    </w:tbl>
    <w:bookmarkEnd w:id="21"/>
    <w:bookmarkStart w:id="22" w:name="description-of-services"/>
    <w:p>
      <w:pPr>
        <w:pStyle w:val="Heading2"/>
      </w:pPr>
      <w:r>
        <w:t xml:space="preserve">2. DESCRIPTION OF SERVICES</w:t>
      </w:r>
    </w:p>
    <w:p>
      <w:pPr>
        <w:pStyle w:val="FirstParagraph"/>
      </w:pPr>
      <w:r>
        <w:t xml:space="preserve">This Purchase Order is issued to formally authorize the procurement of professional Translator Interpreter services to be rendered in Kuwait, Kuwait City. The contracted Translator Interpreter shall provide comprehensive bilingual and multilingual interpretation and translation support for all official government proceedings, diplomatic meetings, and international conferences scheduled to take place within the Kuwait City metropolitan area during the period specified herein.</w:t>
      </w:r>
    </w:p>
    <w:p>
      <w:pPr>
        <w:pStyle w:val="BodyText"/>
      </w:pPr>
      <w:r>
        <w:t xml:space="preserve">The Translator Interpreter engaged under this Purchase Order must hold a minimum of five (5) years of documented professional experience in simultaneous and consecutive interpretation. The service shall cover the following language pairs: Arabic to English, English to Arabic, Arabic to French, and English to French. All interpretation services must be delivered in person at the designated venues located in Kuwait, Kuwait City, unless otherwise specified in a written amendment to this Purchase Order.</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Translator Interpreter Service</w:t>
            </w:r>
          </w:p>
        </w:tc>
        <w:tc>
          <w:tcPr/>
          <w:p>
            <w:pPr>
              <w:pStyle w:val="Compact"/>
              <w:jc w:val="center"/>
            </w:pPr>
            <w:r>
              <w:t xml:space="preserve">Qty</w:t>
            </w:r>
          </w:p>
        </w:tc>
        <w:tc>
          <w:tcPr/>
          <w:p>
            <w:pPr>
              <w:pStyle w:val="Compact"/>
              <w:jc w:val="center"/>
            </w:pPr>
            <w:r>
              <w:t xml:space="preserve">Unit (KWD)</w:t>
            </w:r>
          </w:p>
        </w:tc>
        <w:tc>
          <w:tcPr/>
          <w:p>
            <w:pPr>
              <w:pStyle w:val="Compact"/>
              <w:jc w:val="right"/>
            </w:pPr>
            <w:r>
              <w:t xml:space="preserve">Total (KWD)</w:t>
            </w:r>
          </w:p>
        </w:tc>
      </w:tr>
      <w:tr>
        <w:tc>
          <w:tcPr/>
          <w:p>
            <w:pPr>
              <w:pStyle w:val="Compact"/>
              <w:jc w:val="left"/>
            </w:pPr>
            <w:r>
              <w:t xml:space="preserve">01</w:t>
            </w:r>
          </w:p>
        </w:tc>
        <w:tc>
          <w:tcPr/>
          <w:p>
            <w:pPr>
              <w:pStyle w:val="Compact"/>
              <w:jc w:val="left"/>
            </w:pPr>
            <w:r>
              <w:t xml:space="preserve">Simultaneous Interpretation – Arabic/English (8-hour sessions, Kuwait City venues)</w:t>
            </w:r>
          </w:p>
        </w:tc>
        <w:tc>
          <w:tcPr/>
          <w:p>
            <w:pPr>
              <w:pStyle w:val="Compact"/>
              <w:jc w:val="center"/>
            </w:pPr>
            <w:r>
              <w:t xml:space="preserve">12</w:t>
            </w:r>
          </w:p>
        </w:tc>
        <w:tc>
          <w:tcPr/>
          <w:p>
            <w:pPr>
              <w:pStyle w:val="Compact"/>
              <w:jc w:val="center"/>
            </w:pPr>
            <w:r>
              <w:t xml:space="preserve">185.000</w:t>
            </w:r>
          </w:p>
        </w:tc>
        <w:tc>
          <w:tcPr/>
          <w:p>
            <w:pPr>
              <w:pStyle w:val="Compact"/>
              <w:jc w:val="right"/>
            </w:pPr>
            <w:r>
              <w:t xml:space="preserve">2,220.000</w:t>
            </w:r>
          </w:p>
        </w:tc>
      </w:tr>
      <w:tr>
        <w:tc>
          <w:tcPr/>
          <w:p>
            <w:pPr>
              <w:pStyle w:val="Compact"/>
              <w:jc w:val="left"/>
            </w:pPr>
            <w:r>
              <w:t xml:space="preserve">02</w:t>
            </w:r>
          </w:p>
        </w:tc>
        <w:tc>
          <w:tcPr/>
          <w:p>
            <w:pPr>
              <w:pStyle w:val="Compact"/>
              <w:jc w:val="left"/>
            </w:pPr>
            <w:r>
              <w:t xml:space="preserve">Consecutive Interpretation – English/French (4-hour sessions, Kuwait City venues)</w:t>
            </w:r>
          </w:p>
        </w:tc>
        <w:tc>
          <w:tcPr/>
          <w:p>
            <w:pPr>
              <w:pStyle w:val="Compact"/>
              <w:jc w:val="center"/>
            </w:pPr>
            <w:r>
              <w:t xml:space="preserve">8</w:t>
            </w:r>
          </w:p>
        </w:tc>
        <w:tc>
          <w:tcPr/>
          <w:p>
            <w:pPr>
              <w:pStyle w:val="Compact"/>
              <w:jc w:val="center"/>
            </w:pPr>
            <w:r>
              <w:t xml:space="preserve">120.000</w:t>
            </w:r>
          </w:p>
        </w:tc>
        <w:tc>
          <w:tcPr/>
          <w:p>
            <w:pPr>
              <w:pStyle w:val="Compact"/>
              <w:jc w:val="right"/>
            </w:pPr>
            <w:r>
              <w:t xml:space="preserve">960.000</w:t>
            </w:r>
          </w:p>
        </w:tc>
      </w:tr>
      <w:tr>
        <w:tc>
          <w:tcPr/>
          <w:p>
            <w:pPr>
              <w:pStyle w:val="Compact"/>
              <w:jc w:val="left"/>
            </w:pPr>
            <w:r>
              <w:t xml:space="preserve">03</w:t>
            </w:r>
          </w:p>
        </w:tc>
        <w:tc>
          <w:tcPr/>
          <w:p>
            <w:pPr>
              <w:pStyle w:val="Compact"/>
              <w:jc w:val="left"/>
            </w:pPr>
            <w:r>
              <w:t xml:space="preserve">Document Translation – Legal &amp; Diplomatic (per 1,000 words, delivered in Kuwait City)</w:t>
            </w:r>
          </w:p>
        </w:tc>
        <w:tc>
          <w:tcPr/>
          <w:p>
            <w:pPr>
              <w:pStyle w:val="Compact"/>
              <w:jc w:val="center"/>
            </w:pPr>
            <w:r>
              <w:t xml:space="preserve">45</w:t>
            </w:r>
          </w:p>
        </w:tc>
        <w:tc>
          <w:tcPr/>
          <w:p>
            <w:pPr>
              <w:pStyle w:val="Compact"/>
              <w:jc w:val="center"/>
            </w:pPr>
            <w:r>
              <w:t xml:space="preserve">35.000</w:t>
            </w:r>
          </w:p>
        </w:tc>
        <w:tc>
          <w:tcPr/>
          <w:p>
            <w:pPr>
              <w:pStyle w:val="Compact"/>
              <w:jc w:val="right"/>
            </w:pPr>
            <w:r>
              <w:t xml:space="preserve">1,575.000</w:t>
            </w:r>
          </w:p>
        </w:tc>
      </w:tr>
      <w:tr>
        <w:tc>
          <w:tcPr/>
          <w:p>
            <w:pPr>
              <w:pStyle w:val="Compact"/>
              <w:jc w:val="left"/>
            </w:pPr>
            <w:r>
              <w:t xml:space="preserve">04</w:t>
            </w:r>
          </w:p>
        </w:tc>
        <w:tc>
          <w:tcPr/>
          <w:p>
            <w:pPr>
              <w:pStyle w:val="Compact"/>
              <w:jc w:val="left"/>
            </w:pPr>
            <w:r>
              <w:t xml:space="preserve">On-site Translator Interpreter Support – Emergency Diplomatic Briefings (Kuwait City)</w:t>
            </w:r>
          </w:p>
        </w:tc>
        <w:tc>
          <w:tcPr/>
          <w:p>
            <w:pPr>
              <w:pStyle w:val="Compact"/>
              <w:jc w:val="center"/>
            </w:pPr>
            <w:r>
              <w:t xml:space="preserve">6</w:t>
            </w:r>
          </w:p>
        </w:tc>
        <w:tc>
          <w:tcPr/>
          <w:p>
            <w:pPr>
              <w:pStyle w:val="Compact"/>
              <w:jc w:val="center"/>
            </w:pPr>
            <w:r>
              <w:t xml:space="preserve">250.000</w:t>
            </w:r>
          </w:p>
        </w:tc>
        <w:tc>
          <w:tcPr/>
          <w:p>
            <w:pPr>
              <w:pStyle w:val="Compact"/>
              <w:jc w:val="right"/>
            </w:pPr>
            <w:r>
              <w:t xml:space="preserve">1,500.000</w:t>
            </w:r>
          </w:p>
        </w:tc>
      </w:tr>
      <w:tr>
        <w:tc>
          <w:tcPr/>
          <w:p>
            <w:pPr>
              <w:pStyle w:val="Compact"/>
              <w:jc w:val="left"/>
            </w:pPr>
            <w:r>
              <w:t xml:space="preserve">05</w:t>
            </w:r>
          </w:p>
        </w:tc>
        <w:tc>
          <w:tcPr/>
          <w:p>
            <w:pPr>
              <w:pStyle w:val="Compact"/>
              <w:jc w:val="left"/>
            </w:pPr>
            <w:r>
              <w:t xml:space="preserve">Equipment &amp; Technical Setup for Simultaneous Interpretation Booths (Kuwait City)</w:t>
            </w:r>
          </w:p>
        </w:tc>
        <w:tc>
          <w:tcPr/>
          <w:p>
            <w:pPr>
              <w:pStyle w:val="Compact"/>
              <w:jc w:val="center"/>
            </w:pPr>
            <w:r>
              <w:t xml:space="preserve">4</w:t>
            </w:r>
          </w:p>
        </w:tc>
        <w:tc>
          <w:tcPr/>
          <w:p>
            <w:pPr>
              <w:pStyle w:val="Compact"/>
              <w:jc w:val="center"/>
            </w:pPr>
            <w:r>
              <w:t xml:space="preserve">420.000</w:t>
            </w:r>
          </w:p>
        </w:tc>
        <w:tc>
          <w:tcPr/>
          <w:p>
            <w:pPr>
              <w:pStyle w:val="Compact"/>
              <w:jc w:val="right"/>
            </w:pPr>
            <w:r>
              <w:t xml:space="preserve">1,680.000</w:t>
            </w:r>
          </w:p>
        </w:tc>
      </w:tr>
      <w:tr>
        <w:tc>
          <w:tcPr>
            <w:gridSpan w:val="4"/>
          </w:tcPr>
          <w:p>
            <w:pPr>
              <w:pStyle w:val="Compact"/>
              <w:jc w:val="left"/>
            </w:pPr>
            <w:r>
              <w:t xml:space="preserve">SUBTOTAL</w:t>
            </w:r>
          </w:p>
        </w:tc>
        <w:tc>
          <w:tcPr/>
          <w:p>
            <w:pPr>
              <w:pStyle w:val="Compact"/>
              <w:jc w:val="right"/>
            </w:pPr>
            <w:r>
              <w:t xml:space="preserve">7,935.000</w:t>
            </w:r>
          </w:p>
        </w:tc>
      </w:tr>
      <w:tr>
        <w:tc>
          <w:tcPr>
            <w:gridSpan w:val="4"/>
          </w:tcPr>
          <w:p>
            <w:pPr>
              <w:pStyle w:val="Compact"/>
              <w:jc w:val="left"/>
            </w:pPr>
            <w:r>
              <w:t xml:space="preserve">VAT (15%)</w:t>
            </w:r>
          </w:p>
        </w:tc>
        <w:tc>
          <w:tcPr/>
          <w:p>
            <w:pPr>
              <w:pStyle w:val="Compact"/>
              <w:jc w:val="right"/>
            </w:pPr>
            <w:r>
              <w:t xml:space="preserve">1,190.250</w:t>
            </w:r>
          </w:p>
        </w:tc>
      </w:tr>
      <w:tr>
        <w:tc>
          <w:tcPr>
            <w:gridSpan w:val="4"/>
          </w:tcPr>
          <w:p>
            <w:pPr>
              <w:pStyle w:val="Compact"/>
              <w:jc w:val="left"/>
            </w:pPr>
            <w:r>
              <w:t xml:space="preserve">GRAND TOTAL (KWD)</w:t>
            </w:r>
          </w:p>
        </w:tc>
        <w:tc>
          <w:tcPr/>
          <w:p>
            <w:pPr>
              <w:pStyle w:val="Compact"/>
              <w:jc w:val="right"/>
            </w:pPr>
            <w:r>
              <w:t xml:space="preserve">9,125.250</w:t>
            </w:r>
          </w:p>
        </w:tc>
      </w:tr>
    </w:tbl>
    <w:bookmarkEnd w:id="23"/>
    <w:bookmarkStart w:id="24" w:name="terms-and-conditions"/>
    <w:p>
      <w:pPr>
        <w:pStyle w:val="Heading2"/>
      </w:pPr>
      <w:r>
        <w:t xml:space="preserve">4. TERMS AND CONDITIONS</w:t>
      </w:r>
    </w:p>
    <w:p>
      <w:pPr>
        <w:numPr>
          <w:ilvl w:val="0"/>
          <w:numId w:val="1001"/>
        </w:numPr>
        <w:pStyle w:val="Compact"/>
      </w:pPr>
      <w:r>
        <w:t xml:space="preserve">The Translator Interpreter shall report to the designated venue in Kuwait, Kuwait City, no later than sixty (60) minutes prior to the scheduled start of each interpretation session. Failure to comply shall result in a 10% deduction from the applicable line item fee.</w:t>
      </w:r>
    </w:p>
    <w:p>
      <w:pPr>
        <w:numPr>
          <w:ilvl w:val="0"/>
          <w:numId w:val="1001"/>
        </w:numPr>
        <w:pStyle w:val="Compact"/>
      </w:pPr>
      <w:r>
        <w:t xml:space="preserve">All services rendered under this Purchase Order must adhere to the professional standards established by the International Association of Conference Interpreters (AIIC) and the Kuwaiti National Standards for Language Services.</w:t>
      </w:r>
    </w:p>
    <w:p>
      <w:pPr>
        <w:numPr>
          <w:ilvl w:val="0"/>
          <w:numId w:val="1001"/>
        </w:numPr>
        <w:pStyle w:val="Compact"/>
      </w:pPr>
      <w:r>
        <w:t xml:space="preserve">The Translator Interpreter is bound by a strict confidentiality agreement. All documents, proceedings, and verbal communications encountered during the engagement in Kuwait, Kuwait City, shall remain classified and shall not be disclosed to any third party without written authorization from the issuing authority.</w:t>
      </w:r>
    </w:p>
    <w:p>
      <w:pPr>
        <w:numPr>
          <w:ilvl w:val="0"/>
          <w:numId w:val="1001"/>
        </w:numPr>
        <w:pStyle w:val="Compact"/>
      </w:pPr>
      <w:r>
        <w:t xml:space="preserve">Payment shall be processed within thirty (30) calendar days of receipt of a valid invoice and a signed service completion certificate. Payment shall be made via bank transfer to the account designated by Gulf Linguistic Solutions LLC.</w:t>
      </w:r>
    </w:p>
    <w:p>
      <w:pPr>
        <w:numPr>
          <w:ilvl w:val="0"/>
          <w:numId w:val="1001"/>
        </w:numPr>
        <w:pStyle w:val="Compact"/>
      </w:pPr>
      <w:r>
        <w:t xml:space="preserve">This Purchase Order is subject to the laws of the State of Kuwait. Any disputes arising from the interpretation or execution of this document shall be resolved through the competent courts in Kuwait City.</w:t>
      </w:r>
    </w:p>
    <w:p>
      <w:pPr>
        <w:numPr>
          <w:ilvl w:val="0"/>
          <w:numId w:val="1001"/>
        </w:numPr>
        <w:pStyle w:val="Compact"/>
      </w:pPr>
      <w:r>
        <w:t xml:space="preserve">The Seller warrants that the Translator Interpreter assigned to this contract holds valid professional certification, a clean criminal record, and current health clearance as required for government engagements in Kuwait.</w:t>
      </w:r>
    </w:p>
    <w:p>
      <w:pPr>
        <w:numPr>
          <w:ilvl w:val="0"/>
          <w:numId w:val="1001"/>
        </w:numPr>
        <w:pStyle w:val="Compact"/>
      </w:pPr>
      <w:r>
        <w:t xml:space="preserve">Any modifications to the scope, schedule, or location of the Translator Interpreter services must be documented in a formal written amendment signed by both parties prior to implementation.</w:t>
      </w:r>
    </w:p>
    <w:p>
      <w:pPr>
        <w:numPr>
          <w:ilvl w:val="0"/>
          <w:numId w:val="1001"/>
        </w:numPr>
        <w:pStyle w:val="Compact"/>
      </w:pPr>
      <w:r>
        <w:t xml:space="preserve">The Buyer reserves the right to terminate this Purchase Order with fourteen (14) days written notice in the event of material breach, non-performance, or force majeure circumstances beyond the reasonable control of either party.</w:t>
      </w:r>
    </w:p>
    <w:bookmarkEnd w:id="24"/>
    <w:bookmarkStart w:id="25" w:name="authorization-and-signatures"/>
    <w:p>
      <w:pPr>
        <w:pStyle w:val="Heading2"/>
      </w:pPr>
      <w:r>
        <w:t xml:space="preserve">5. AUTHORIZATION AND SIGNATURES</w:t>
      </w:r>
    </w:p>
    <w:tbl>
      <w:tblPr>
        <w:tblStyle w:val="Table"/>
        <w:tblW w:type="pct" w:w="5000"/>
        <w:tblLook w:firstRow="0" w:lastRow="0" w:firstColumn="0" w:lastColumn="0" w:noHBand="0" w:noVBand="0" w:val="0000"/>
      </w:tblPr>
      <w:tblGrid>
        <w:gridCol w:w="3960"/>
        <w:gridCol w:w="3960"/>
      </w:tblGrid>
      <w:tr>
        <w:tc>
          <w:tcPr/>
          <w:p>
            <w:pPr>
              <w:jc w:val="left"/>
            </w:pPr>
            <w:r>
              <w:t xml:space="preserve">Authorized by (Buyer):</w:t>
            </w:r>
          </w:p>
          <w:p>
            <w:pPr>
              <w:jc w:val="left"/>
            </w:pPr>
            <w:r>
              <w:t xml:space="preserve">Name:</w:t>
            </w:r>
            <w:r>
              <w:t xml:space="preserve"> </w:t>
            </w:r>
            <w:r>
              <w:rPr>
                <w:bCs/>
                <w:b/>
              </w:rPr>
              <w:t xml:space="preserve">Dr. Ahmad Al-Sabah</w:t>
            </w:r>
          </w:p>
          <w:p>
            <w:pPr>
              <w:jc w:val="left"/>
            </w:pPr>
            <w:r>
              <w:t xml:space="preserve">Title: Director of Procurement, Kuwait Government Procurement Authority</w:t>
            </w:r>
          </w:p>
          <w:p>
            <w:pPr>
              <w:jc w:val="left"/>
            </w:pPr>
            <w:r>
              <w:t xml:space="preserve">Date: 15 June 2025</w:t>
            </w:r>
          </w:p>
          <w:p>
            <w:pPr>
              <w:jc w:val="left"/>
            </w:pPr>
            <w:r>
              <w:t xml:space="preserve">Signature: ___________________________</w:t>
            </w:r>
          </w:p>
        </w:tc>
        <w:tc>
          <w:tcPr/>
          <w:p>
            <w:pPr>
              <w:jc w:val="left"/>
            </w:pPr>
            <w:r>
              <w:t xml:space="preserve">Accepted by (Seller):</w:t>
            </w:r>
          </w:p>
          <w:p>
            <w:pPr>
              <w:jc w:val="left"/>
            </w:pPr>
            <w:r>
              <w:t xml:space="preserve">Name:</w:t>
            </w:r>
            <w:r>
              <w:t xml:space="preserve"> </w:t>
            </w:r>
            <w:r>
              <w:rPr>
                <w:bCs/>
                <w:b/>
              </w:rPr>
              <w:t xml:space="preserve">Mrs. Layla Al-Mubarak</w:t>
            </w:r>
          </w:p>
          <w:p>
            <w:pPr>
              <w:jc w:val="left"/>
            </w:pPr>
            <w:r>
              <w:t xml:space="preserve">Title: Managing Director, Gulf Linguistic Solutions LLC</w:t>
            </w:r>
          </w:p>
          <w:p>
            <w:pPr>
              <w:jc w:val="left"/>
            </w:pPr>
            <w:r>
              <w:t xml:space="preserve">Date: 15 June 2025</w:t>
            </w:r>
          </w:p>
          <w:p>
            <w:pPr>
              <w:jc w:val="left"/>
            </w:pPr>
            <w:r>
              <w:t xml:space="preserve">Signature: ___________________________</w:t>
            </w:r>
          </w:p>
        </w:tc>
      </w:tr>
    </w:tbl>
    <w:p>
      <w:pPr>
        <w:pStyle w:val="BodyText"/>
      </w:pPr>
      <w:r>
        <w:t xml:space="preserve">This Purchase Order (PO-KWT-2025-04872) constitutes a binding procurement instrument for the engagement of Translator Interpreter services in Kuwait, Kuwait City. It is issued in accordance with the Kuwaiti Public Procurement Law No. 11 of 2016 and its amendments. This document is valid only when bearing the official seals and signatures of both authorized parties. Unauthorized reproduction or distribution of this Purchase Order is strictly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Translator Interpreter Services - Kuwait Kuwait City</dc:title>
  <dc:creator/>
  <dc:language>en</dc:language>
  <cp:keywords/>
  <dcterms:created xsi:type="dcterms:W3CDTF">2026-10-10T07:31:03Z</dcterms:created>
  <dcterms:modified xsi:type="dcterms:W3CDTF">2026-10-10T07:31:03Z</dcterms:modified>
</cp:coreProperties>
</file>

<file path=docProps/custom.xml><?xml version="1.0" encoding="utf-8"?>
<Properties xmlns="http://schemas.openxmlformats.org/officeDocument/2006/custom-properties" xmlns:vt="http://schemas.openxmlformats.org/officeDocument/2006/docPropsVTypes"/>
</file>