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Document Reference: PO-2025-PHL-MNL-00472</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Global Corporate Solutions, Inc.</w:t>
      </w:r>
    </w:p>
    <w:p>
      <w:pPr>
        <w:pStyle w:val="BodyText"/>
      </w:pPr>
      <w:r>
        <w:rPr>
          <w:bCs/>
          <w:b/>
        </w:rPr>
        <w:t xml:space="preserve">Address:</w:t>
      </w:r>
      <w:r>
        <w:t xml:space="preserve"> </w:t>
      </w:r>
      <w:r>
        <w:t xml:space="preserve">128 Ayala Avenue, Makati City, Philippines Manila</w:t>
      </w:r>
    </w:p>
    <w:p>
      <w:pPr>
        <w:pStyle w:val="BodyText"/>
      </w:pPr>
      <w:r>
        <w:rPr>
          <w:bCs/>
          <w:b/>
        </w:rPr>
        <w:t xml:space="preserve">Contact:</w:t>
      </w:r>
      <w:r>
        <w:t xml:space="preserve"> </w:t>
      </w:r>
      <w:r>
        <w:t xml:space="preserve">procurement@gcsinc.com</w:t>
      </w:r>
    </w:p>
    <w:p>
      <w:pPr>
        <w:pStyle w:val="BodyText"/>
      </w:pPr>
      <w:r>
        <w:rPr>
          <w:bCs/>
          <w:b/>
        </w:rPr>
        <w:t xml:space="preserve">Phone:</w:t>
      </w:r>
      <w:r>
        <w:t xml:space="preserve"> </w:t>
      </w:r>
      <w:r>
        <w:t xml:space="preserve">+63 (2) 8855-4421</w:t>
      </w:r>
    </w:p>
    <w:p>
      <w:pPr>
        <w:pStyle w:val="BodyText"/>
      </w:pPr>
      <w:r>
        <w:rPr>
          <w:bCs/>
          <w:b/>
        </w:rPr>
        <w:t xml:space="preserve">Tax ID (TIN):</w:t>
      </w:r>
      <w:r>
        <w:t xml:space="preserve"> </w:t>
      </w:r>
      <w:r>
        <w:t xml:space="preserve">000-123-456-789</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LinguaBridge Professional Services</w:t>
      </w:r>
    </w:p>
    <w:p>
      <w:pPr>
        <w:pStyle w:val="BodyText"/>
      </w:pPr>
      <w:r>
        <w:rPr>
          <w:bCs/>
          <w:b/>
        </w:rPr>
        <w:t xml:space="preserve">Address:</w:t>
      </w:r>
      <w:r>
        <w:t xml:space="preserve"> </w:t>
      </w:r>
      <w:r>
        <w:t xml:space="preserve">45th Floor, BDO Tower, Ortigas Center, Philippines Manila</w:t>
      </w:r>
    </w:p>
    <w:p>
      <w:pPr>
        <w:pStyle w:val="BodyText"/>
      </w:pPr>
      <w:r>
        <w:rPr>
          <w:bCs/>
          <w:b/>
        </w:rPr>
        <w:t xml:space="preserve">Contact:</w:t>
      </w:r>
      <w:r>
        <w:t xml:space="preserve"> </w:t>
      </w:r>
      <w:r>
        <w:t xml:space="preserve">contracts@linguabridge.ph</w:t>
      </w:r>
    </w:p>
    <w:p>
      <w:pPr>
        <w:pStyle w:val="BodyText"/>
      </w:pPr>
      <w:r>
        <w:rPr>
          <w:bCs/>
          <w:b/>
        </w:rPr>
        <w:t xml:space="preserve">Phone:</w:t>
      </w:r>
      <w:r>
        <w:t xml:space="preserve"> </w:t>
      </w:r>
      <w:r>
        <w:t xml:space="preserve">+63 (2) 8433-9910</w:t>
      </w:r>
    </w:p>
    <w:p>
      <w:pPr>
        <w:pStyle w:val="BodyText"/>
      </w:pPr>
      <w:r>
        <w:rPr>
          <w:bCs/>
          <w:b/>
        </w:rPr>
        <w:t xml:space="preserve">Tax ID (TIN):</w:t>
      </w:r>
      <w:r>
        <w:t xml:space="preserve"> </w:t>
      </w:r>
      <w:r>
        <w:t xml:space="preserve">000-987-654-321</w:t>
      </w:r>
    </w:p>
    <w:bookmarkEnd w:id="22"/>
    <w:p>
      <w:pPr>
        <w:pStyle w:val="BodyText"/>
      </w:pPr>
      <w:r>
        <w:rPr>
          <w:bCs/>
          <w:b/>
        </w:rPr>
        <w:t xml:space="preserve">Purchase Order No.:</w:t>
      </w:r>
      <w:r>
        <w:t xml:space="preserve"> </w:t>
      </w:r>
      <w:r>
        <w:t xml:space="preserve">PO-2025-PHL-MNL-00472</w:t>
      </w:r>
    </w:p>
    <w:p>
      <w:pPr>
        <w:pStyle w:val="BodyText"/>
      </w:pPr>
      <w:r>
        <w:rPr>
          <w:bCs/>
          <w:b/>
        </w:rPr>
        <w:t xml:space="preserve">Date of Issue:</w:t>
      </w:r>
      <w:r>
        <w:t xml:space="preserve"> </w:t>
      </w:r>
      <w:r>
        <w:t xml:space="preserve">June 15, 2025</w:t>
      </w:r>
    </w:p>
    <w:p>
      <w:pPr>
        <w:pStyle w:val="BodyText"/>
      </w:pPr>
      <w:r>
        <w:rPr>
          <w:bCs/>
          <w:b/>
        </w:rPr>
        <w:t xml:space="preserve">Required Service Start:</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July 15, 2025</w:t>
      </w:r>
    </w:p>
    <w:p>
      <w:pPr>
        <w:pStyle w:val="BodyText"/>
      </w:pPr>
      <w:r>
        <w:rPr>
          <w:bCs/>
          <w:b/>
        </w:rPr>
        <w:t xml:space="preserve">Authorized By:</w:t>
      </w:r>
      <w:r>
        <w:t xml:space="preserve"> </w:t>
      </w:r>
      <w:r>
        <w:t xml:space="preserve">Maria Santos, Procurement Director</w:t>
      </w:r>
    </w:p>
    <w:p>
      <w:pPr>
        <w:pStyle w:val="BodyText"/>
      </w:pPr>
      <w:r>
        <w:t xml:space="preserve">Description of Services</w:t>
      </w:r>
    </w:p>
    <w:p>
      <w:pPr>
        <w:pStyle w:val="BodyText"/>
      </w:pPr>
      <w:r>
        <w:t xml:space="preserve">This</w:t>
      </w:r>
      <w:r>
        <w:t xml:space="preserve"> </w:t>
      </w:r>
      <w:r>
        <w:t xml:space="preserve">Purchase Order</w:t>
      </w:r>
      <w:r>
        <w:t xml:space="preserve"> </w:t>
      </w:r>
      <w:r>
        <w:t xml:space="preserve">is issued by Global Corporate Solutions, Inc. to formally request and authorize the procurement of professional</w:t>
      </w:r>
      <w:r>
        <w:t xml:space="preserve"> </w:t>
      </w:r>
      <w:r>
        <w:t xml:space="preserve">Translator Interpreter</w:t>
      </w:r>
      <w:r>
        <w:t xml:space="preserve"> </w:t>
      </w:r>
      <w:r>
        <w:t xml:space="preserve">services to be rendered in</w:t>
      </w:r>
      <w:r>
        <w:t xml:space="preserve"> </w:t>
      </w:r>
      <w:r>
        <w:t xml:space="preserve">Philippines Manila</w:t>
      </w:r>
      <w:r>
        <w:t xml:space="preserve">. The services described herein are required to support the company's upcoming international trade conference, bilateral investment negotiations, and multilingual corporate communications scheduled to take place at the International Convention Center in the Philippines Manila metropolitan area from July 1, 2025, through July 30, 2025.</w:t>
      </w:r>
    </w:p>
    <w:p>
      <w:pPr>
        <w:pStyle w:val="BodyText"/>
      </w:pPr>
      <w:r>
        <w:t xml:space="preserve">The</w:t>
      </w:r>
      <w:r>
        <w:t xml:space="preserve"> </w:t>
      </w:r>
      <w:r>
        <w:t xml:space="preserve">Translator Interpreter</w:t>
      </w:r>
      <w:r>
        <w:t xml:space="preserve"> </w:t>
      </w:r>
      <w:r>
        <w:t xml:space="preserve">engagement under this</w:t>
      </w:r>
      <w:r>
        <w:t xml:space="preserve"> </w:t>
      </w:r>
      <w:r>
        <w:t xml:space="preserve">Purchase Order</w:t>
      </w:r>
      <w:r>
        <w:t xml:space="preserve"> </w:t>
      </w:r>
      <w:r>
        <w:t xml:space="preserve">encompasses both written translation and live oral interpretation across multiple language pairs, including but not limited to English, Filipino (Tagalog), Japanese, Mandarin Chinese, Korean, and Spanish. All services shall be performed on-site in</w:t>
      </w:r>
      <w:r>
        <w:t xml:space="preserve"> </w:t>
      </w:r>
      <w:r>
        <w:t xml:space="preserve">Philippines Manila</w:t>
      </w:r>
      <w:r>
        <w:t xml:space="preserve"> </w:t>
      </w:r>
      <w:r>
        <w:t xml:space="preserve">unless otherwise specified in the service schedule below.</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Language Pair</w:t>
            </w:r>
          </w:p>
        </w:tc>
        <w:tc>
          <w:tcPr/>
          <w:p>
            <w:pPr>
              <w:pStyle w:val="Compact"/>
              <w:jc w:val="left"/>
            </w:pPr>
            <w:r>
              <w:t xml:space="preserve">Duration / Volume</w:t>
            </w:r>
          </w:p>
        </w:tc>
        <w:tc>
          <w:tcPr/>
          <w:p>
            <w:pPr>
              <w:pStyle w:val="Compact"/>
              <w:jc w:val="left"/>
            </w:pPr>
            <w:r>
              <w:t xml:space="preserve">Unit Rate (PHP)</w:t>
            </w:r>
          </w:p>
        </w:tc>
        <w:tc>
          <w:tcPr/>
          <w:p>
            <w:pPr>
              <w:pStyle w:val="Compact"/>
              <w:jc w:val="left"/>
            </w:pPr>
            <w:r>
              <w:t xml:space="preserve">Total (PHP)</w:t>
            </w:r>
          </w:p>
        </w:tc>
      </w:tr>
      <w:tr>
        <w:tc>
          <w:tcPr/>
          <w:p>
            <w:pPr>
              <w:pStyle w:val="Compact"/>
              <w:jc w:val="left"/>
            </w:pPr>
            <w:r>
              <w:t xml:space="preserve">001</w:t>
            </w:r>
          </w:p>
        </w:tc>
        <w:tc>
          <w:tcPr/>
          <w:p>
            <w:pPr>
              <w:pStyle w:val="Compact"/>
              <w:jc w:val="left"/>
            </w:pPr>
            <w:r>
              <w:t xml:space="preserve">Simultaneous</w:t>
            </w:r>
            <w:r>
              <w:t xml:space="preserve"> </w:t>
            </w:r>
            <w:r>
              <w:t xml:space="preserve">Translator Interpreter</w:t>
            </w:r>
            <w:r>
              <w:t xml:space="preserve"> </w:t>
            </w:r>
            <w:r>
              <w:t xml:space="preserve">– Conference Hall A (International Trade Summit)</w:t>
            </w:r>
          </w:p>
        </w:tc>
        <w:tc>
          <w:tcPr/>
          <w:p>
            <w:pPr>
              <w:pStyle w:val="Compact"/>
              <w:jc w:val="left"/>
            </w:pPr>
            <w:r>
              <w:t xml:space="preserve">English / Japanese</w:t>
            </w:r>
          </w:p>
        </w:tc>
        <w:tc>
          <w:tcPr/>
          <w:p>
            <w:pPr>
              <w:pStyle w:val="Compact"/>
              <w:jc w:val="left"/>
            </w:pPr>
            <w:r>
              <w:t xml:space="preserve">5 days × 8 hrs/day</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002</w:t>
            </w:r>
          </w:p>
        </w:tc>
        <w:tc>
          <w:tcPr/>
          <w:p>
            <w:pPr>
              <w:pStyle w:val="Compact"/>
              <w:jc w:val="left"/>
            </w:pPr>
            <w:r>
              <w:t xml:space="preserve">Consecutive</w:t>
            </w:r>
            <w:r>
              <w:t xml:space="preserve"> </w:t>
            </w:r>
            <w:r>
              <w:t xml:space="preserve">Translator Interpreter</w:t>
            </w:r>
            <w:r>
              <w:t xml:space="preserve"> </w:t>
            </w:r>
            <w:r>
              <w:t xml:space="preserve">– Bilateral Investment Negotiations</w:t>
            </w:r>
          </w:p>
        </w:tc>
        <w:tc>
          <w:tcPr/>
          <w:p>
            <w:pPr>
              <w:pStyle w:val="Compact"/>
              <w:jc w:val="left"/>
            </w:pPr>
            <w:r>
              <w:t xml:space="preserve">English / Mandarin Chinese</w:t>
            </w:r>
          </w:p>
        </w:tc>
        <w:tc>
          <w:tcPr/>
          <w:p>
            <w:pPr>
              <w:pStyle w:val="Compact"/>
              <w:jc w:val="left"/>
            </w:pPr>
            <w:r>
              <w:t xml:space="preserve">3 days × 6 hrs/day</w:t>
            </w:r>
          </w:p>
        </w:tc>
        <w:tc>
          <w:tcPr/>
          <w:p>
            <w:pPr>
              <w:pStyle w:val="Compact"/>
              <w:jc w:val="left"/>
            </w:pPr>
            <w:r>
              <w:t xml:space="preserve">10,500.00</w:t>
            </w:r>
          </w:p>
        </w:tc>
        <w:tc>
          <w:tcPr/>
          <w:p>
            <w:pPr>
              <w:pStyle w:val="Compact"/>
              <w:jc w:val="left"/>
            </w:pPr>
            <w:r>
              <w:t xml:space="preserve">189,000.00</w:t>
            </w:r>
          </w:p>
        </w:tc>
      </w:tr>
      <w:tr>
        <w:tc>
          <w:tcPr/>
          <w:p>
            <w:pPr>
              <w:pStyle w:val="Compact"/>
              <w:jc w:val="left"/>
            </w:pPr>
            <w:r>
              <w:t xml:space="preserve">003</w:t>
            </w:r>
          </w:p>
        </w:tc>
        <w:tc>
          <w:tcPr/>
          <w:p>
            <w:pPr>
              <w:pStyle w:val="Compact"/>
              <w:jc w:val="left"/>
            </w:pPr>
            <w:r>
              <w:t xml:space="preserve">Written Translation – Corporate Documents and Legal Contracts</w:t>
            </w:r>
          </w:p>
        </w:tc>
        <w:tc>
          <w:tcPr/>
          <w:p>
            <w:pPr>
              <w:pStyle w:val="Compact"/>
              <w:jc w:val="left"/>
            </w:pPr>
            <w:r>
              <w:t xml:space="preserve">English / Filipino (Tagalog)</w:t>
            </w:r>
          </w:p>
        </w:tc>
        <w:tc>
          <w:tcPr/>
          <w:p>
            <w:pPr>
              <w:pStyle w:val="Compact"/>
              <w:jc w:val="left"/>
            </w:pPr>
            <w:r>
              <w:t xml:space="preserve">15,000 words</w:t>
            </w:r>
          </w:p>
        </w:tc>
        <w:tc>
          <w:tcPr/>
          <w:p>
            <w:pPr>
              <w:pStyle w:val="Compact"/>
              <w:jc w:val="left"/>
            </w:pPr>
            <w:r>
              <w:t xml:space="preserve">8.50/word</w:t>
            </w:r>
          </w:p>
        </w:tc>
        <w:tc>
          <w:tcPr/>
          <w:p>
            <w:pPr>
              <w:pStyle w:val="Compact"/>
              <w:jc w:val="left"/>
            </w:pPr>
            <w:r>
              <w:t xml:space="preserve">127,500.00</w:t>
            </w:r>
          </w:p>
        </w:tc>
      </w:tr>
      <w:tr>
        <w:tc>
          <w:tcPr/>
          <w:p>
            <w:pPr>
              <w:pStyle w:val="Compact"/>
              <w:jc w:val="left"/>
            </w:pPr>
            <w:r>
              <w:t xml:space="preserve">004</w:t>
            </w:r>
          </w:p>
        </w:tc>
        <w:tc>
          <w:tcPr/>
          <w:p>
            <w:pPr>
              <w:pStyle w:val="Compact"/>
              <w:jc w:val="left"/>
            </w:pPr>
            <w:r>
              <w:t xml:space="preserve">On-site</w:t>
            </w:r>
            <w:r>
              <w:t xml:space="preserve"> </w:t>
            </w:r>
            <w:r>
              <w:t xml:space="preserve">Translator Interpreter</w:t>
            </w:r>
            <w:r>
              <w:t xml:space="preserve"> </w:t>
            </w:r>
            <w:r>
              <w:t xml:space="preserve">– Media Press Conferences in</w:t>
            </w:r>
            <w:r>
              <w:t xml:space="preserve"> </w:t>
            </w:r>
            <w:r>
              <w:t xml:space="preserve">Philippines Manila</w:t>
            </w:r>
          </w:p>
        </w:tc>
        <w:tc>
          <w:tcPr/>
          <w:p>
            <w:pPr>
              <w:pStyle w:val="Compact"/>
              <w:jc w:val="left"/>
            </w:pPr>
            <w:r>
              <w:t xml:space="preserve">English / Korean</w:t>
            </w:r>
          </w:p>
        </w:tc>
        <w:tc>
          <w:tcPr/>
          <w:p>
            <w:pPr>
              <w:pStyle w:val="Compact"/>
              <w:jc w:val="left"/>
            </w:pPr>
            <w:r>
              <w:t xml:space="preserve">4 days × 4 hrs/day</w:t>
            </w:r>
          </w:p>
        </w:tc>
        <w:tc>
          <w:tcPr/>
          <w:p>
            <w:pPr>
              <w:pStyle w:val="Compact"/>
              <w:jc w:val="left"/>
            </w:pPr>
            <w:r>
              <w:t xml:space="preserve">9,000.00</w:t>
            </w:r>
          </w:p>
        </w:tc>
        <w:tc>
          <w:tcPr/>
          <w:p>
            <w:pPr>
              <w:pStyle w:val="Compact"/>
              <w:jc w:val="left"/>
            </w:pPr>
            <w:r>
              <w:t xml:space="preserve">144,000.00</w:t>
            </w:r>
          </w:p>
        </w:tc>
      </w:tr>
      <w:tr>
        <w:tc>
          <w:tcPr/>
          <w:p>
            <w:pPr>
              <w:pStyle w:val="Compact"/>
              <w:jc w:val="left"/>
            </w:pPr>
            <w:r>
              <w:t xml:space="preserve">005</w:t>
            </w:r>
          </w:p>
        </w:tc>
        <w:tc>
          <w:tcPr/>
          <w:p>
            <w:pPr>
              <w:pStyle w:val="Compact"/>
              <w:jc w:val="left"/>
            </w:pPr>
            <w:r>
              <w:t xml:space="preserve">Remote Interpretation Support – Virtual Board Meetings</w:t>
            </w:r>
          </w:p>
        </w:tc>
        <w:tc>
          <w:tcPr/>
          <w:p>
            <w:pPr>
              <w:pStyle w:val="Compact"/>
              <w:jc w:val="left"/>
            </w:pPr>
            <w:r>
              <w:t xml:space="preserve">English / Spanish</w:t>
            </w:r>
          </w:p>
        </w:tc>
        <w:tc>
          <w:tcPr/>
          <w:p>
            <w:pPr>
              <w:pStyle w:val="Compact"/>
              <w:jc w:val="left"/>
            </w:pPr>
            <w:r>
              <w:t xml:space="preserve">10 sessions × 2 hrs</w:t>
            </w:r>
          </w:p>
        </w:tc>
        <w:tc>
          <w:tcPr/>
          <w:p>
            <w:pPr>
              <w:pStyle w:val="Compact"/>
              <w:jc w:val="left"/>
            </w:pPr>
            <w:r>
              <w:t xml:space="preserve">7,500.00</w:t>
            </w:r>
          </w:p>
        </w:tc>
        <w:tc>
          <w:tcPr/>
          <w:p>
            <w:pPr>
              <w:pStyle w:val="Compact"/>
              <w:jc w:val="left"/>
            </w:pPr>
            <w:r>
              <w:t xml:space="preserve">150,000.00</w:t>
            </w:r>
          </w:p>
        </w:tc>
      </w:tr>
      <w:tr>
        <w:tc>
          <w:tcPr/>
          <w:p>
            <w:pPr>
              <w:pStyle w:val="Compact"/>
              <w:jc w:val="left"/>
            </w:pPr>
            <w:r>
              <w:t xml:space="preserve">006</w:t>
            </w:r>
          </w:p>
        </w:tc>
        <w:tc>
          <w:tcPr/>
          <w:p>
            <w:pPr>
              <w:pStyle w:val="Compact"/>
              <w:jc w:val="left"/>
            </w:pPr>
            <w:r>
              <w:t xml:space="preserve">Technical Translation – Engineering and IT Manuals</w:t>
            </w:r>
          </w:p>
        </w:tc>
        <w:tc>
          <w:tcPr/>
          <w:p>
            <w:pPr>
              <w:pStyle w:val="Compact"/>
              <w:jc w:val="left"/>
            </w:pPr>
            <w:r>
              <w:t xml:space="preserve">English / Japanese</w:t>
            </w:r>
          </w:p>
        </w:tc>
        <w:tc>
          <w:tcPr/>
          <w:p>
            <w:pPr>
              <w:pStyle w:val="Compact"/>
              <w:jc w:val="left"/>
            </w:pPr>
            <w:r>
              <w:t xml:space="preserve">22,000 words</w:t>
            </w:r>
          </w:p>
        </w:tc>
        <w:tc>
          <w:tcPr/>
          <w:p>
            <w:pPr>
              <w:pStyle w:val="Compact"/>
              <w:jc w:val="left"/>
            </w:pPr>
            <w:r>
              <w:t xml:space="preserve">9.00/word</w:t>
            </w:r>
          </w:p>
        </w:tc>
        <w:tc>
          <w:tcPr/>
          <w:p>
            <w:pPr>
              <w:pStyle w:val="Compact"/>
              <w:jc w:val="left"/>
            </w:pPr>
            <w:r>
              <w:t xml:space="preserve">198,000.00</w:t>
            </w:r>
          </w:p>
        </w:tc>
      </w:tr>
      <w:tr>
        <w:tc>
          <w:tcPr/>
          <w:p>
            <w:pPr>
              <w:pStyle w:val="Compact"/>
              <w:jc w:val="left"/>
            </w:pPr>
            <w:r>
              <w:t xml:space="preserve">007</w:t>
            </w:r>
          </w:p>
        </w:tc>
        <w:tc>
          <w:tcPr/>
          <w:p>
            <w:pPr>
              <w:pStyle w:val="Compact"/>
              <w:jc w:val="left"/>
            </w:pPr>
            <w:r>
              <w:t xml:space="preserve">Escort</w:t>
            </w:r>
            <w:r>
              <w:t xml:space="preserve"> </w:t>
            </w:r>
            <w:r>
              <w:t xml:space="preserve">Translator Interpreter</w:t>
            </w:r>
            <w:r>
              <w:t xml:space="preserve"> </w:t>
            </w:r>
            <w:r>
              <w:t xml:space="preserve">– VIP Delegation Tours in</w:t>
            </w:r>
            <w:r>
              <w:t xml:space="preserve"> </w:t>
            </w:r>
            <w:r>
              <w:t xml:space="preserve">Philippines Manila</w:t>
            </w:r>
          </w:p>
        </w:tc>
        <w:tc>
          <w:tcPr/>
          <w:p>
            <w:pPr>
              <w:pStyle w:val="Compact"/>
              <w:jc w:val="left"/>
            </w:pPr>
            <w:r>
              <w:t xml:space="preserve">English / Filipino (Tagalog)</w:t>
            </w:r>
          </w:p>
        </w:tc>
        <w:tc>
          <w:tcPr/>
          <w:p>
            <w:pPr>
              <w:pStyle w:val="Compact"/>
              <w:jc w:val="left"/>
            </w:pPr>
            <w:r>
              <w:t xml:space="preserve">2 days × 10 hrs/day</w:t>
            </w:r>
          </w:p>
        </w:tc>
        <w:tc>
          <w:tcPr/>
          <w:p>
            <w:pPr>
              <w:pStyle w:val="Compact"/>
              <w:jc w:val="left"/>
            </w:pPr>
            <w:r>
              <w:t xml:space="preserve">8,000.00</w:t>
            </w:r>
          </w:p>
        </w:tc>
        <w:tc>
          <w:tcPr/>
          <w:p>
            <w:pPr>
              <w:pStyle w:val="Compact"/>
              <w:jc w:val="left"/>
            </w:pPr>
            <w:r>
              <w:t xml:space="preserve">160,000.00</w:t>
            </w:r>
          </w:p>
        </w:tc>
      </w:tr>
      <w:tr>
        <w:tc>
          <w:tcPr>
            <w:gridSpan w:val="5"/>
          </w:tcPr>
          <w:p>
            <w:pPr>
              <w:pStyle w:val="Compact"/>
              <w:jc w:val="right"/>
            </w:pPr>
            <w:r>
              <w:t xml:space="preserve">Subtotal:</w:t>
            </w:r>
          </w:p>
        </w:tc>
        <w:tc>
          <w:tcPr/>
          <w:p>
            <w:pPr>
              <w:pStyle w:val="Compact"/>
              <w:jc w:val="left"/>
            </w:pPr>
            <w:r>
              <w:t xml:space="preserve">1,448,500.00</w:t>
            </w:r>
          </w:p>
        </w:tc>
      </w:tr>
      <w:tr>
        <w:tc>
          <w:tcPr>
            <w:gridSpan w:val="5"/>
          </w:tcPr>
          <w:p>
            <w:pPr>
              <w:pStyle w:val="Compact"/>
              <w:jc w:val="right"/>
            </w:pPr>
            <w:r>
              <w:t xml:space="preserve">VAT (12%):</w:t>
            </w:r>
          </w:p>
        </w:tc>
        <w:tc>
          <w:tcPr/>
          <w:p>
            <w:pPr>
              <w:pStyle w:val="Compact"/>
              <w:jc w:val="left"/>
            </w:pPr>
            <w:r>
              <w:t xml:space="preserve">173,820.00</w:t>
            </w:r>
          </w:p>
        </w:tc>
      </w:tr>
      <w:tr>
        <w:tc>
          <w:tcPr>
            <w:gridSpan w:val="5"/>
          </w:tcPr>
          <w:p>
            <w:pPr>
              <w:pStyle w:val="Compact"/>
              <w:jc w:val="right"/>
            </w:pPr>
            <w:r>
              <w:t xml:space="preserve">Grand Total (PHP):</w:t>
            </w:r>
          </w:p>
        </w:tc>
        <w:tc>
          <w:tcPr/>
          <w:p>
            <w:pPr>
              <w:pStyle w:val="Compact"/>
              <w:jc w:val="left"/>
            </w:pPr>
            <w:r>
              <w:t xml:space="preserve">1,622,320.00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Global Corporate Solutions, Inc. and LinguaBridge Professional Services upon full execution by both parties. All</w:t>
      </w:r>
      <w:r>
        <w:t xml:space="preserve"> </w:t>
      </w:r>
      <w:r>
        <w:t xml:space="preserve">Translator Interpreter</w:t>
      </w:r>
      <w:r>
        <w:t xml:space="preserve"> </w:t>
      </w:r>
      <w:r>
        <w:t xml:space="preserve">services shall be delivered in accordance with the specifications outlined in this document and any attached service-level agreements.</w:t>
      </w:r>
    </w:p>
    <w:p>
      <w:pPr>
        <w:numPr>
          <w:ilvl w:val="0"/>
          <w:numId w:val="1001"/>
        </w:numPr>
        <w:pStyle w:val="Compact"/>
      </w:pPr>
      <w:r>
        <w:t xml:space="preserve">All</w:t>
      </w:r>
      <w:r>
        <w:t xml:space="preserve"> </w:t>
      </w:r>
      <w:r>
        <w:t xml:space="preserve">Translator Interpreter</w:t>
      </w:r>
      <w:r>
        <w:t xml:space="preserve"> </w:t>
      </w:r>
      <w:r>
        <w:t xml:space="preserve">personnel assigned to this engagement must hold recognized professional certifications (e.g., ATA, AIIC, or equivalent Philippine Commission on Accreditation and Accreditation Board credentials) and possess a minimum of five (5) years of documented experience in the respective language pairs.</w:t>
      </w:r>
    </w:p>
    <w:p>
      <w:pPr>
        <w:numPr>
          <w:ilvl w:val="0"/>
          <w:numId w:val="1001"/>
        </w:numPr>
        <w:pStyle w:val="Compact"/>
      </w:pPr>
      <w:r>
        <w:t xml:space="preserve">Services shall be performed primarily at the International Convention Center,</w:t>
      </w:r>
      <w:r>
        <w:t xml:space="preserve"> </w:t>
      </w:r>
      <w:r>
        <w:t xml:space="preserve">Philippines Manila</w:t>
      </w:r>
      <w:r>
        <w:t xml:space="preserve">, and at the buyer's corporate offices located in Makati City,</w:t>
      </w:r>
      <w:r>
        <w:t xml:space="preserve"> </w:t>
      </w:r>
      <w:r>
        <w:t xml:space="preserve">Philippines Manila</w:t>
      </w:r>
      <w:r>
        <w:t xml:space="preserve">. Any additional locations within the</w:t>
      </w:r>
      <w:r>
        <w:t xml:space="preserve"> </w:t>
      </w:r>
      <w:r>
        <w:t xml:space="preserve">Philippines Manila</w:t>
      </w:r>
      <w:r>
        <w:t xml:space="preserve"> </w:t>
      </w:r>
      <w:r>
        <w:t xml:space="preserve">metropolitan area must be approved in writing by the buyer's project manager.</w:t>
      </w:r>
    </w:p>
    <w:p>
      <w:pPr>
        <w:numPr>
          <w:ilvl w:val="0"/>
          <w:numId w:val="1001"/>
        </w:numPr>
        <w:pStyle w:val="Compact"/>
      </w:pPr>
      <w:r>
        <w:t xml:space="preserve">The seller shall provide a minimum of seventy-two (72) hours' written notice for any substitution of the assigned</w:t>
      </w:r>
      <w:r>
        <w:t xml:space="preserve"> </w:t>
      </w:r>
      <w:r>
        <w:t xml:space="preserve">Translator Interpreter</w:t>
      </w:r>
      <w:r>
        <w:t xml:space="preserve">. Substituted personnel must meet or exceed the qualifications of the originally assigned professional.</w:t>
      </w:r>
    </w:p>
    <w:p>
      <w:pPr>
        <w:numPr>
          <w:ilvl w:val="0"/>
          <w:numId w:val="1001"/>
        </w:numPr>
        <w:pStyle w:val="Compact"/>
      </w:pPr>
      <w:r>
        <w:t xml:space="preserve">Payment shall be made within thirty (30) calendar days from the date of receipt of a valid invoice. Invoices must reference this</w:t>
      </w:r>
      <w:r>
        <w:t xml:space="preserve"> </w:t>
      </w:r>
      <w:r>
        <w:t xml:space="preserve">Purchase Order</w:t>
      </w:r>
      <w:r>
        <w:t xml:space="preserve"> </w:t>
      </w:r>
      <w:r>
        <w:t xml:space="preserve">number (PO-2025-PHL-MNL-00472) and include a detailed breakdown of services rendered.</w:t>
      </w:r>
    </w:p>
    <w:p>
      <w:pPr>
        <w:numPr>
          <w:ilvl w:val="0"/>
          <w:numId w:val="1001"/>
        </w:numPr>
        <w:pStyle w:val="Compact"/>
      </w:pPr>
      <w:r>
        <w:t xml:space="preserve">All translated documents and interpreted communications are subject to strict confidentiality. The</w:t>
      </w:r>
      <w:r>
        <w:t xml:space="preserve"> </w:t>
      </w:r>
      <w:r>
        <w:t xml:space="preserve">Translator Interpreter</w:t>
      </w:r>
      <w:r>
        <w:t xml:space="preserve"> </w:t>
      </w:r>
      <w:r>
        <w:t xml:space="preserve">and all supporting staff shall execute a Non-Disclosure Agreement (NDA) prior to commencing any work in</w:t>
      </w:r>
      <w:r>
        <w:t xml:space="preserve"> </w:t>
      </w:r>
      <w:r>
        <w:t xml:space="preserve">Philippines Manila</w:t>
      </w:r>
      <w:r>
        <w:t xml:space="preserve">.</w:t>
      </w:r>
    </w:p>
    <w:p>
      <w:pPr>
        <w:numPr>
          <w:ilvl w:val="0"/>
          <w:numId w:val="1001"/>
        </w:numPr>
        <w:pStyle w:val="Compact"/>
      </w:pPr>
      <w:r>
        <w:t xml:space="preserve">The buyer reserves the right to inspect the quality of all</w:t>
      </w:r>
      <w:r>
        <w:t xml:space="preserve"> </w:t>
      </w:r>
      <w:r>
        <w:t xml:space="preserve">Translator Interpreter</w:t>
      </w:r>
      <w:r>
        <w:t xml:space="preserve"> </w:t>
      </w:r>
      <w:r>
        <w:t xml:space="preserve">deliverables. Any work found to be below the agreed-upon professional standard shall be corrected at no additional cost to the buyer within five (5) business days.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the Philippines. Any disputes arising from this agreement shall be resolved through arbitration in</w:t>
      </w:r>
      <w:r>
        <w:t xml:space="preserve"> </w:t>
      </w:r>
      <w:r>
        <w:t xml:space="preserve">Philippines Manila</w:t>
      </w:r>
      <w:r>
        <w:t xml:space="preserve"> </w:t>
      </w:r>
      <w:r>
        <w:t xml:space="preserve">in accordance with the rules of the Philippine Dispute Resolution Center.</w:t>
      </w:r>
    </w:p>
    <w:p>
      <w:pPr>
        <w:numPr>
          <w:ilvl w:val="0"/>
          <w:numId w:val="1001"/>
        </w:numPr>
        <w:pStyle w:val="Compact"/>
      </w:pPr>
      <w:r>
        <w:t xml:space="preserve">The seller is responsible for all travel, accommodation, and per diem expenses for</w:t>
      </w:r>
      <w:r>
        <w:t xml:space="preserve"> </w:t>
      </w:r>
      <w:r>
        <w:t xml:space="preserve">Translator Interpreter</w:t>
      </w:r>
      <w:r>
        <w:t xml:space="preserve"> </w:t>
      </w:r>
      <w:r>
        <w:t xml:space="preserve">staff operating within</w:t>
      </w:r>
      <w:r>
        <w:t xml:space="preserve"> </w:t>
      </w:r>
      <w:r>
        <w:t xml:space="preserve">Philippines Manila</w:t>
      </w:r>
      <w:r>
        <w:t xml:space="preserve"> </w:t>
      </w:r>
      <w:r>
        <w:t xml:space="preserve">during the service period, unless otherwise negotiated in a written addendum.</w:t>
      </w:r>
    </w:p>
    <w:p>
      <w:pPr>
        <w:numPr>
          <w:ilvl w:val="0"/>
          <w:numId w:val="1001"/>
        </w:numPr>
        <w:pStyle w:val="Compact"/>
      </w:pPr>
      <w:r>
        <w:t xml:space="preserve">This</w:t>
      </w:r>
      <w:r>
        <w:t xml:space="preserve"> </w:t>
      </w:r>
      <w:r>
        <w:t xml:space="preserve">Purchase Order</w:t>
      </w:r>
      <w:r>
        <w:t xml:space="preserve"> </w:t>
      </w:r>
      <w:r>
        <w:t xml:space="preserve">may be amended only by mutual written consent of both parties. No verbal modifications shall be considered valid or enforceable.</w:t>
      </w:r>
    </w:p>
    <w:p>
      <w:pPr>
        <w:pStyle w:val="FirstParagraph"/>
      </w:pPr>
      <w:r>
        <w:t xml:space="preserve">Acceptance and Authorization</w:t>
      </w:r>
    </w:p>
    <w:p>
      <w:pPr>
        <w:pStyle w:val="BodyText"/>
      </w:pPr>
      <w:r>
        <w:t xml:space="preserve">By signing below, both parties acknowledge and agree to all terms, conditions, and service specifications set forth in this</w:t>
      </w:r>
      <w:r>
        <w:t xml:space="preserve"> </w:t>
      </w:r>
      <w:r>
        <w:t xml:space="preserve">Purchase Order</w:t>
      </w:r>
      <w:r>
        <w:t xml:space="preserve"> </w:t>
      </w:r>
      <w:r>
        <w:t xml:space="preserve">for the procurement of</w:t>
      </w:r>
      <w:r>
        <w:t xml:space="preserve"> </w:t>
      </w:r>
      <w:r>
        <w:t xml:space="preserve">Translator Interpreter</w:t>
      </w:r>
      <w:r>
        <w:t xml:space="preserve"> </w:t>
      </w:r>
      <w:r>
        <w:t xml:space="preserve">services in</w:t>
      </w:r>
      <w:r>
        <w:t xml:space="preserve"> </w:t>
      </w:r>
      <w:r>
        <w:t xml:space="preserve">Philippines Manila</w:t>
      </w:r>
      <w:r>
        <w:t xml:space="preserve">. This document is valid for acceptance until July 15, 2025, after which it shall be considered expired unless renewed in writing.</w:t>
      </w:r>
    </w:p>
    <w:p>
      <w:pPr>
        <w:pStyle w:val="BodyText"/>
      </w:pPr>
      <w:r>
        <w:rPr>
          <w:bCs/>
          <w:b/>
        </w:rPr>
        <w:t xml:space="preserve">For: Global Corporate Solutions, Inc. (Buyer)</w:t>
      </w:r>
    </w:p>
    <w:p>
      <w:pPr>
        <w:pStyle w:val="BodyText"/>
      </w:pPr>
      <w:r>
        <w:t xml:space="preserve">Maria Santos – Procurement Director</w:t>
      </w:r>
    </w:p>
    <w:p>
      <w:pPr>
        <w:pStyle w:val="BodyText"/>
      </w:pPr>
      <w:r>
        <w:t xml:space="preserve">Date: ____________________</w:t>
      </w:r>
    </w:p>
    <w:p>
      <w:pPr>
        <w:pStyle w:val="BodyText"/>
      </w:pPr>
      <w:r>
        <w:rPr>
          <w:bCs/>
          <w:b/>
        </w:rPr>
        <w:t xml:space="preserve">For: LinguaBridge Professional Services (Seller)</w:t>
      </w:r>
    </w:p>
    <w:p>
      <w:pPr>
        <w:pStyle w:val="BodyText"/>
      </w:pPr>
      <w:r>
        <w:t xml:space="preserve">James Tan – Contract Manager</w:t>
      </w:r>
    </w:p>
    <w:p>
      <w:pPr>
        <w:pStyle w:val="BodyText"/>
      </w:pPr>
      <w:r>
        <w:t xml:space="preserve">Date: ____________________</w:t>
      </w:r>
    </w:p>
    <w:p>
      <w:pPr>
        <w:pStyle w:val="BodyText"/>
      </w:pPr>
      <w:r>
        <w:t xml:space="preserve">This</w:t>
      </w:r>
      <w:r>
        <w:t xml:space="preserve"> </w:t>
      </w:r>
      <w:r>
        <w:t xml:space="preserve">Purchase Order</w:t>
      </w:r>
      <w:r>
        <w:t xml:space="preserve"> </w:t>
      </w:r>
      <w:r>
        <w:t xml:space="preserve">(PO-2025-PHL-MNL-00472) is an official procurement document for</w:t>
      </w:r>
      <w:r>
        <w:t xml:space="preserve"> </w:t>
      </w:r>
      <w:r>
        <w:t xml:space="preserve">Translator Interpreter</w:t>
      </w:r>
      <w:r>
        <w:t xml:space="preserve"> </w:t>
      </w:r>
      <w:r>
        <w:t xml:space="preserve">services in</w:t>
      </w:r>
      <w:r>
        <w:t xml:space="preserve"> </w:t>
      </w:r>
      <w:r>
        <w:t xml:space="preserve">Philippines Manila</w:t>
      </w:r>
      <w:r>
        <w:t xml:space="preserve">.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Philippines Manila</dc:title>
  <dc:creator/>
  <dc:language>en</dc:language>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