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Official Procurement Document for Professional Language Services</w:t>
      </w:r>
    </w:p>
    <w:bookmarkEnd w:id="20"/>
    <w:p>
      <w:pPr>
        <w:pStyle w:val="BodyText"/>
      </w:pPr>
      <w:r>
        <w:rPr>
          <w:bCs/>
          <w:b/>
        </w:rPr>
        <w:t xml:space="preserve">Purchase Order No.:</w:t>
      </w:r>
      <w:r>
        <w:t xml:space="preserve"> </w:t>
      </w:r>
      <w:r>
        <w:t xml:space="preserve">PO-2025-RSP-04782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Russia Saint Petersburg</w:t>
      </w:r>
      <w:r>
        <w:br/>
      </w:r>
      <w:r>
        <w:rPr>
          <w:bCs/>
          <w:b/>
        </w:rPr>
        <w:t xml:space="preserve">Service Category:</w:t>
      </w:r>
      <w:r>
        <w:t xml:space="preserve"> </w:t>
      </w:r>
      <w:r>
        <w:t xml:space="preserve">Translator Interpreter Services</w:t>
      </w:r>
      <w:r>
        <w:br/>
      </w:r>
      <w:r>
        <w:rPr>
          <w:bCs/>
          <w:b/>
        </w:rPr>
        <w:t xml:space="preserve">Priority:</w:t>
      </w:r>
      <w:r>
        <w:t xml:space="preserve"> </w:t>
      </w:r>
      <w:r>
        <w:t xml:space="preserve">Standard</w:t>
      </w:r>
    </w:p>
    <w:p>
      <w:pPr>
        <w:pStyle w:val="BodyText"/>
      </w:pPr>
      <w:r>
        <w:rPr>
          <w:bCs/>
          <w:b/>
        </w:rPr>
        <w:t xml:space="preserve">Department:</w:t>
      </w:r>
      <w:r>
        <w:t xml:space="preserve"> </w:t>
      </w:r>
      <w:r>
        <w:t xml:space="preserve">International Operations</w:t>
      </w:r>
      <w:r>
        <w:br/>
      </w:r>
      <w:r>
        <w:rPr>
          <w:bCs/>
          <w:b/>
        </w:rPr>
        <w:t xml:space="preserve">Cost Center:</w:t>
      </w:r>
      <w:r>
        <w:t xml:space="preserve"> </w:t>
      </w:r>
      <w:r>
        <w:t xml:space="preserve">CC-4471-LANG</w:t>
      </w:r>
      <w:r>
        <w:br/>
      </w:r>
      <w:r>
        <w:rPr>
          <w:bCs/>
          <w:b/>
        </w:rPr>
        <w:t xml:space="preserve">Project Ref:</w:t>
      </w:r>
      <w:r>
        <w:t xml:space="preserve"> </w:t>
      </w:r>
      <w:r>
        <w:t xml:space="preserve">RSP-2025-Q3</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GlobalBridge International Consulting LLC</w:t>
            </w:r>
          </w:p>
        </w:tc>
        <w:tc>
          <w:tcPr/>
          <w:p>
            <w:pPr>
              <w:pStyle w:val="Compact"/>
              <w:jc w:val="left"/>
            </w:pPr>
            <w:r>
              <w:rPr>
                <w:bCs/>
                <w:b/>
              </w:rPr>
              <w:t xml:space="preserve">Tax ID / EIN:</w:t>
            </w:r>
            <w:r>
              <w:t xml:space="preserve"> </w:t>
            </w:r>
            <w:r>
              <w:t xml:space="preserve">84-2917365</w:t>
            </w:r>
          </w:p>
        </w:tc>
      </w:tr>
      <w:tr>
        <w:tc>
          <w:tcPr/>
          <w:p>
            <w:pPr>
              <w:pStyle w:val="Compact"/>
              <w:jc w:val="left"/>
            </w:pPr>
            <w:r>
              <w:rPr>
                <w:bCs/>
                <w:b/>
              </w:rPr>
              <w:t xml:space="preserve">Address:</w:t>
            </w:r>
            <w:r>
              <w:t xml:space="preserve"> </w:t>
            </w:r>
            <w:r>
              <w:t xml:space="preserve">1200 Commerce Avenue, Suite 450, New York, NY 10018, USA</w:t>
            </w:r>
          </w:p>
        </w:tc>
        <w:tc>
          <w:tcPr/>
          <w:p>
            <w:pPr>
              <w:pStyle w:val="Compact"/>
              <w:jc w:val="left"/>
            </w:pPr>
            <w:r>
              <w:rPr>
                <w:bCs/>
                <w:b/>
              </w:rPr>
              <w:t xml:space="preserve">Contact:</w:t>
            </w:r>
            <w:r>
              <w:t xml:space="preserve"> </w:t>
            </w:r>
            <w:r>
              <w:t xml:space="preserve">procurement@globalbridge-ic.com</w:t>
            </w:r>
          </w:p>
        </w:tc>
      </w:tr>
      <w:tr>
        <w:tc>
          <w:tcPr/>
          <w:p>
            <w:pPr>
              <w:pStyle w:val="Compact"/>
              <w:jc w:val="left"/>
            </w:pPr>
            <w:r>
              <w:rPr>
                <w:bCs/>
                <w:b/>
              </w:rPr>
              <w:t xml:space="preserve">Authorized Buyer:</w:t>
            </w:r>
            <w:r>
              <w:t xml:space="preserve"> </w:t>
            </w:r>
            <w:r>
              <w:t xml:space="preserve">Margaret Chen, Senior Procurement Manager</w:t>
            </w:r>
          </w:p>
        </w:tc>
        <w:tc>
          <w:tcPr/>
          <w:p>
            <w:pPr>
              <w:pStyle w:val="Compact"/>
              <w:jc w:val="left"/>
            </w:pPr>
            <w:r>
              <w:rPr>
                <w:bCs/>
                <w:b/>
              </w:rPr>
              <w:t xml:space="preserve">Phone:</w:t>
            </w:r>
            <w:r>
              <w:t xml:space="preserve"> </w:t>
            </w:r>
            <w:r>
              <w:t xml:space="preserve">+1 (212) 555-0187</w:t>
            </w:r>
          </w:p>
        </w:tc>
      </w:tr>
    </w:tbl>
    <w:p>
      <w:pPr>
        <w:pStyle w:val="BodyText"/>
      </w:pPr>
      <w:r>
        <w:t xml:space="preserve">2.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Baltic Linguistic Solutions OOO</w:t>
            </w:r>
          </w:p>
        </w:tc>
        <w:tc>
          <w:tcPr/>
          <w:p>
            <w:pPr>
              <w:pStyle w:val="Compact"/>
              <w:jc w:val="left"/>
            </w:pPr>
            <w:r>
              <w:rPr>
                <w:bCs/>
                <w:b/>
              </w:rPr>
              <w:t xml:space="preserve">Registration No.:</w:t>
            </w:r>
            <w:r>
              <w:t xml:space="preserve"> </w:t>
            </w:r>
            <w:r>
              <w:t xml:space="preserve">7811234567890</w:t>
            </w:r>
          </w:p>
        </w:tc>
      </w:tr>
      <w:tr>
        <w:tc>
          <w:tcPr/>
          <w:p>
            <w:pPr>
              <w:pStyle w:val="Compact"/>
              <w:jc w:val="left"/>
            </w:pPr>
            <w:r>
              <w:rPr>
                <w:bCs/>
                <w:b/>
              </w:rPr>
              <w:t xml:space="preserve">Address:</w:t>
            </w:r>
            <w:r>
              <w:t xml:space="preserve"> </w:t>
            </w:r>
            <w:r>
              <w:t xml:space="preserve">45 Nevsky Prospekt, Building 3, Russia Saint Petersburg, 191025, Russian Federation</w:t>
            </w:r>
          </w:p>
        </w:tc>
        <w:tc>
          <w:tcPr/>
          <w:p>
            <w:pPr>
              <w:pStyle w:val="Compact"/>
              <w:jc w:val="left"/>
            </w:pPr>
            <w:r>
              <w:rPr>
                <w:bCs/>
                <w:b/>
              </w:rPr>
              <w:t xml:space="preserve">Contact:</w:t>
            </w:r>
            <w:r>
              <w:t xml:space="preserve"> </w:t>
            </w:r>
            <w:r>
              <w:t xml:space="preserve">contracts@balticlinguistic.ru</w:t>
            </w:r>
          </w:p>
        </w:tc>
      </w:tr>
      <w:tr>
        <w:tc>
          <w:tcPr/>
          <w:p>
            <w:pPr>
              <w:pStyle w:val="Compact"/>
              <w:jc w:val="left"/>
            </w:pPr>
            <w:r>
              <w:rPr>
                <w:bCs/>
                <w:b/>
              </w:rPr>
              <w:t xml:space="preserve">Account Manager:</w:t>
            </w:r>
            <w:r>
              <w:t xml:space="preserve"> </w:t>
            </w:r>
            <w:r>
              <w:t xml:space="preserve">Dmitry Volkov, Head of Corporate Contracts</w:t>
            </w:r>
          </w:p>
        </w:tc>
        <w:tc>
          <w:tcPr/>
          <w:p>
            <w:pPr>
              <w:pStyle w:val="Compact"/>
              <w:jc w:val="left"/>
            </w:pPr>
            <w:r>
              <w:rPr>
                <w:bCs/>
                <w:b/>
              </w:rPr>
              <w:t xml:space="preserve">Phone:</w:t>
            </w:r>
            <w:r>
              <w:t xml:space="preserve"> </w:t>
            </w:r>
            <w:r>
              <w:t xml:space="preserve">+7 (812) 555-3344</w:t>
            </w:r>
          </w:p>
        </w:tc>
      </w:tr>
    </w:tbl>
    <w:p>
      <w:pPr>
        <w:pStyle w:val="BodyText"/>
      </w:pPr>
      <w:r>
        <w:t xml:space="preserve">3. Description of Services – Translator Interpreter Engagement in Russia Saint Petersburg</w:t>
      </w:r>
    </w:p>
    <w:p>
      <w:pPr>
        <w:pStyle w:val="BodyText"/>
      </w:pPr>
      <w:r>
        <w:t xml:space="preserve">This</w:t>
      </w:r>
      <w:r>
        <w:t xml:space="preserve"> </w:t>
      </w:r>
      <w:r>
        <w:t xml:space="preserve">Purchase Order</w:t>
      </w:r>
      <w:r>
        <w:t xml:space="preserve"> </w:t>
      </w:r>
      <w:r>
        <w:t xml:space="preserve">is issued to formally authorize the procurement of professional</w:t>
      </w:r>
      <w:r>
        <w:t xml:space="preserve"> </w:t>
      </w:r>
      <w:r>
        <w:t xml:space="preserve">Translator Interpreter</w:t>
      </w:r>
      <w:r>
        <w:t xml:space="preserve"> </w:t>
      </w:r>
      <w:r>
        <w:t xml:space="preserve">services to be rendered on-site in</w:t>
      </w:r>
      <w:r>
        <w:t xml:space="preserve"> </w:t>
      </w:r>
      <w:r>
        <w:t xml:space="preserve">Russia Saint Petersburg</w:t>
      </w:r>
      <w:r>
        <w:t xml:space="preserve">. The services are required to support a series of bilateral trade negotiations, technical facility inspections, and executive board meetings scheduled between June 20 and July 15, 2025. The</w:t>
      </w:r>
      <w:r>
        <w:t xml:space="preserve"> </w:t>
      </w:r>
      <w:r>
        <w:t xml:space="preserve">Translator Interpreter</w:t>
      </w:r>
      <w:r>
        <w:t xml:space="preserve"> </w:t>
      </w:r>
      <w:r>
        <w:t xml:space="preserve">shall provide real-time consecutive and simultaneous interpretation between English and Russian, as well as certified document translation for all contractual, legal, and technical materials exchanged during the engagement period in</w:t>
      </w:r>
      <w:r>
        <w:t xml:space="preserve"> </w:t>
      </w:r>
      <w:r>
        <w:t xml:space="preserve">Russia Saint Petersburg</w:t>
      </w:r>
      <w:r>
        <w:t xml:space="preserve">.</w:t>
      </w:r>
    </w:p>
    <w:p>
      <w:pPr>
        <w:pStyle w:val="BodyText"/>
      </w:pPr>
      <w:r>
        <w:t xml:space="preserve">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must hold a minimum of five (5) years of documented professional experience in business and legal interpretation, possess a certified degree in Translation and Interpretation from an accredited institution, and demonstrate fluency in both English and Russian at a C2 level as verified by the Common European Framework of Reference for Languages (CEFR). The service provider is required to confirm the identity and credentials of the</w:t>
      </w:r>
      <w:r>
        <w:t xml:space="preserve"> </w:t>
      </w:r>
      <w:r>
        <w:t xml:space="preserve">Translator Interpreter</w:t>
      </w:r>
      <w:r>
        <w:t xml:space="preserve"> </w:t>
      </w:r>
      <w:r>
        <w:t xml:space="preserve">no later than five (5) business days prior to the commencement of services in</w:t>
      </w:r>
      <w:r>
        <w:t xml:space="preserve"> </w:t>
      </w:r>
      <w:r>
        <w:t xml:space="preserve">Russia Saint Petersburg</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w:t>
            </w:r>
            <w:r>
              <w:t xml:space="preserve"> </w:t>
            </w:r>
            <w:r>
              <w:rPr>
                <w:bCs/>
                <w:b/>
              </w:rPr>
              <w:t xml:space="preserve">Translator Interpreter</w:t>
            </w:r>
            <w:r>
              <w:t xml:space="preserve"> </w:t>
            </w:r>
            <w:r>
              <w:t xml:space="preserve">– Consecutive interpretation for bilateral trade negotiations in</w:t>
            </w:r>
            <w:r>
              <w:t xml:space="preserve"> </w:t>
            </w:r>
            <w:r>
              <w:rPr>
                <w:bCs/>
                <w:b/>
              </w:rPr>
              <w:t xml:space="preserve">Russia Saint Petersburg</w:t>
            </w:r>
            <w:r>
              <w:t xml:space="preserve"> </w:t>
            </w:r>
            <w:r>
              <w:t xml:space="preserve">(8 hours/day, 5 days/week)</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On-site</w:t>
            </w:r>
            <w:r>
              <w:t xml:space="preserve"> </w:t>
            </w:r>
            <w:r>
              <w:rPr>
                <w:bCs/>
                <w:b/>
              </w:rPr>
              <w:t xml:space="preserve">Translator Interpreter</w:t>
            </w:r>
            <w:r>
              <w:t xml:space="preserve"> </w:t>
            </w:r>
            <w:r>
              <w:t xml:space="preserve">– Simultaneous interpretation for executive board meetings in</w:t>
            </w:r>
            <w:r>
              <w:t xml:space="preserve"> </w:t>
            </w:r>
            <w:r>
              <w:rPr>
                <w:bCs/>
                <w:b/>
              </w:rPr>
              <w:t xml:space="preserve">Russia Saint Petersburg</w:t>
            </w:r>
            <w:r>
              <w:t xml:space="preserve"> </w:t>
            </w:r>
            <w:r>
              <w:t xml:space="preserve">(with equipment setup)</w:t>
            </w:r>
          </w:p>
        </w:tc>
        <w:tc>
          <w:tcPr/>
          <w:p>
            <w:pPr>
              <w:pStyle w:val="Compact"/>
              <w:jc w:val="left"/>
            </w:pPr>
            <w:r>
              <w:t xml:space="preserve">12 hours</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3</w:t>
            </w:r>
          </w:p>
        </w:tc>
        <w:tc>
          <w:tcPr/>
          <w:p>
            <w:pPr>
              <w:pStyle w:val="Compact"/>
              <w:jc w:val="left"/>
            </w:pPr>
            <w:r>
              <w:t xml:space="preserve">Certified document translation (English to Russian and Russian to English) – Legal contracts, technical specifications, and regulatory filings for</w:t>
            </w:r>
            <w:r>
              <w:t xml:space="preserve"> </w:t>
            </w:r>
            <w:r>
              <w:rPr>
                <w:bCs/>
                <w:b/>
              </w:rPr>
              <w:t xml:space="preserve">Russia Saint Petersburg</w:t>
            </w:r>
            <w:r>
              <w:t xml:space="preserve"> </w:t>
            </w:r>
            <w:r>
              <w:t xml:space="preserve">operations</w:t>
            </w:r>
          </w:p>
        </w:tc>
        <w:tc>
          <w:tcPr/>
          <w:p>
            <w:pPr>
              <w:pStyle w:val="Compact"/>
              <w:jc w:val="left"/>
            </w:pPr>
            <w:r>
              <w:t xml:space="preserve">15,000 words</w:t>
            </w:r>
          </w:p>
        </w:tc>
        <w:tc>
          <w:tcPr/>
          <w:p>
            <w:pPr>
              <w:pStyle w:val="Compact"/>
              <w:jc w:val="left"/>
            </w:pPr>
            <w:r>
              <w:t xml:space="preserve">$0.14/word</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Technical facility inspection accompaniment –</w:t>
            </w:r>
            <w:r>
              <w:t xml:space="preserve"> </w:t>
            </w:r>
            <w:r>
              <w:rPr>
                <w:bCs/>
                <w:b/>
              </w:rPr>
              <w:t xml:space="preserve">Translator Interpreter</w:t>
            </w:r>
            <w:r>
              <w:t xml:space="preserve"> </w:t>
            </w:r>
            <w:r>
              <w:t xml:space="preserve">support for engineering walkthroughs in</w:t>
            </w:r>
            <w:r>
              <w:t xml:space="preserve"> </w:t>
            </w:r>
            <w:r>
              <w:rPr>
                <w:bCs/>
                <w:b/>
              </w:rPr>
              <w:t xml:space="preserve">Russia Saint Petersburg</w:t>
            </w:r>
            <w:r>
              <w:t xml:space="preserve"> </w:t>
            </w:r>
            <w:r>
              <w:t xml:space="preserve">industrial zones</w:t>
            </w:r>
          </w:p>
        </w:tc>
        <w:tc>
          <w:tcPr/>
          <w:p>
            <w:pPr>
              <w:pStyle w:val="Compact"/>
              <w:jc w:val="left"/>
            </w:pPr>
            <w:r>
              <w:t xml:space="preserve">16 hours</w:t>
            </w:r>
          </w:p>
        </w:tc>
        <w:tc>
          <w:tcPr/>
          <w:p>
            <w:pPr>
              <w:pStyle w:val="Compact"/>
              <w:jc w:val="left"/>
            </w:pPr>
            <w:r>
              <w:t xml:space="preserve">$135.00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Travel, accommodation, and per diem for the</w:t>
            </w:r>
            <w:r>
              <w:t xml:space="preserve"> </w:t>
            </w:r>
            <w:r>
              <w:rPr>
                <w:bCs/>
                <w:b/>
              </w:rPr>
              <w:t xml:space="preserve">Translator Interpreter</w:t>
            </w:r>
            <w:r>
              <w:t xml:space="preserve"> </w:t>
            </w:r>
            <w:r>
              <w:t xml:space="preserve">during the full engagement period in</w:t>
            </w:r>
            <w:r>
              <w:t xml:space="preserve"> </w:t>
            </w:r>
            <w:r>
              <w:rPr>
                <w:bCs/>
                <w:b/>
              </w:rPr>
              <w:t xml:space="preserve">Russia Saint Petersburg</w:t>
            </w:r>
            <w:r>
              <w:t xml:space="preserve"> </w:t>
            </w:r>
            <w:r>
              <w:t xml:space="preserve">(25 nights)</w:t>
            </w:r>
          </w:p>
        </w:tc>
        <w:tc>
          <w:tcPr/>
          <w:p>
            <w:pPr>
              <w:pStyle w:val="Compact"/>
              <w:jc w:val="left"/>
            </w:pPr>
            <w:r>
              <w:t xml:space="preserve">25 days</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6</w:t>
            </w:r>
          </w:p>
        </w:tc>
        <w:tc>
          <w:tcPr/>
          <w:p>
            <w:pPr>
              <w:pStyle w:val="Compact"/>
              <w:jc w:val="left"/>
            </w:pPr>
            <w:r>
              <w:t xml:space="preserve">Emergency / after-hours</w:t>
            </w:r>
            <w:r>
              <w:t xml:space="preserve"> </w:t>
            </w:r>
            <w:r>
              <w:rPr>
                <w:bCs/>
                <w:b/>
              </w:rPr>
              <w:t xml:space="preserve">Translator Interpreter</w:t>
            </w:r>
            <w:r>
              <w:t xml:space="preserve"> </w:t>
            </w:r>
            <w:r>
              <w:t xml:space="preserve">standby coverage in</w:t>
            </w:r>
            <w:r>
              <w:t xml:space="preserve"> </w:t>
            </w:r>
            <w:r>
              <w:rPr>
                <w:bCs/>
                <w:b/>
              </w:rPr>
              <w:t xml:space="preserve">Russia Saint Petersburg</w:t>
            </w:r>
            <w:r>
              <w:t xml:space="preserve"> </w:t>
            </w:r>
            <w:r>
              <w:t xml:space="preserve">(on-call, 20% of standard rate)</w:t>
            </w:r>
          </w:p>
        </w:tc>
        <w:tc>
          <w:tcPr/>
          <w:p>
            <w:pPr>
              <w:pStyle w:val="Compact"/>
              <w:jc w:val="left"/>
            </w:pPr>
            <w:r>
              <w:t xml:space="preserve">20 hours</w:t>
            </w:r>
          </w:p>
        </w:tc>
        <w:tc>
          <w:tcPr/>
          <w:p>
            <w:pPr>
              <w:pStyle w:val="Compact"/>
              <w:jc w:val="left"/>
            </w:pPr>
            <w:r>
              <w:t xml:space="preserve">$24.00</w:t>
            </w:r>
          </w:p>
        </w:tc>
        <w:tc>
          <w:tcPr/>
          <w:p>
            <w:pPr>
              <w:pStyle w:val="Compact"/>
              <w:jc w:val="left"/>
            </w:pPr>
            <w:r>
              <w:t xml:space="preserve">$480.00</w:t>
            </w:r>
          </w:p>
        </w:tc>
      </w:tr>
      <w:tr>
        <w:tc>
          <w:tcPr>
            <w:gridSpan w:val="4"/>
          </w:tcPr>
          <w:p>
            <w:pPr>
              <w:pStyle w:val="Compact"/>
              <w:jc w:val="right"/>
            </w:pPr>
            <w:r>
              <w:t xml:space="preserve">Subtotal:</w:t>
            </w:r>
          </w:p>
        </w:tc>
        <w:tc>
          <w:tcPr/>
          <w:p>
            <w:pPr>
              <w:pStyle w:val="Compact"/>
              <w:jc w:val="left"/>
            </w:pPr>
            <w:r>
              <w:t xml:space="preserve">$13,895.00</w:t>
            </w:r>
          </w:p>
        </w:tc>
      </w:tr>
      <w:tr>
        <w:tc>
          <w:tcPr>
            <w:gridSpan w:val="4"/>
          </w:tcPr>
          <w:p>
            <w:pPr>
              <w:pStyle w:val="Compact"/>
              <w:jc w:val="right"/>
            </w:pPr>
            <w:r>
              <w:t xml:space="preserve">Applicable Tax / VAT (20% Russian Federation):</w:t>
            </w:r>
          </w:p>
        </w:tc>
        <w:tc>
          <w:tcPr/>
          <w:p>
            <w:pPr>
              <w:pStyle w:val="Compact"/>
              <w:jc w:val="left"/>
            </w:pPr>
            <w:r>
              <w:t xml:space="preserve">$2,779.00</w:t>
            </w:r>
          </w:p>
        </w:tc>
      </w:tr>
      <w:tr>
        <w:tc>
          <w:tcPr>
            <w:gridSpan w:val="4"/>
          </w:tcPr>
          <w:p>
            <w:pPr>
              <w:pStyle w:val="Compact"/>
              <w:jc w:val="right"/>
            </w:pPr>
            <w:r>
              <w:rPr>
                <w:bCs/>
                <w:b/>
              </w:rPr>
              <w:t xml:space="preserve">TOTAL PURCHASE ORDER VALUE:</w:t>
            </w:r>
          </w:p>
        </w:tc>
        <w:tc>
          <w:tcPr/>
          <w:p>
            <w:pPr>
              <w:pStyle w:val="Compact"/>
              <w:jc w:val="left"/>
            </w:pPr>
            <w:r>
              <w:rPr>
                <w:bCs/>
                <w:b/>
              </w:rPr>
              <w:t xml:space="preserve">$16,674.00</w:t>
            </w:r>
          </w:p>
        </w:tc>
      </w:tr>
    </w:tbl>
    <w:p>
      <w:pPr>
        <w:pStyle w:val="BodyText"/>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Translator Interpreter</w:t>
      </w:r>
      <w:r>
        <w:t xml:space="preserve"> </w:t>
      </w:r>
      <w:r>
        <w:t xml:space="preserve">shall perform all duties as outlined in this</w:t>
      </w:r>
      <w:r>
        <w:t xml:space="preserve"> </w:t>
      </w:r>
      <w:r>
        <w:t xml:space="preserve">Purchase Order</w:t>
      </w:r>
      <w:r>
        <w:t xml:space="preserve"> </w:t>
      </w:r>
      <w:r>
        <w:t xml:space="preserve">exclusively within the city of</w:t>
      </w:r>
      <w:r>
        <w:t xml:space="preserve"> </w:t>
      </w:r>
      <w:r>
        <w:t xml:space="preserve">Russia Saint Petersburg</w:t>
      </w:r>
      <w:r>
        <w:t xml:space="preserve"> </w:t>
      </w:r>
      <w:r>
        <w:t xml:space="preserve">and its immediate metropolitan area. Any travel beyond this geographic scope requires prior written amendment to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and the service provider shall execute a mutual Non-Disclosure Agreement (NDA) prior to the commencement of services. All documents, recordings, and verbal communications encountered during the engagement in</w:t>
      </w:r>
      <w:r>
        <w:t xml:space="preserve"> </w:t>
      </w:r>
      <w:r>
        <w:t xml:space="preserve">Russia Saint Petersburg</w:t>
      </w:r>
      <w:r>
        <w:t xml:space="preserve"> </w:t>
      </w:r>
      <w:r>
        <w:t xml:space="preserve">are classified as strictly confidential and proprietary to the purchasing entity.</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service provider. Invoices must reference this</w:t>
      </w:r>
      <w:r>
        <w:t xml:space="preserve"> </w:t>
      </w:r>
      <w:r>
        <w:t xml:space="preserve">Purchase Order</w:t>
      </w:r>
      <w:r>
        <w:t xml:space="preserve"> </w:t>
      </w:r>
      <w:r>
        <w:t xml:space="preserve">number (PO-2025-RSP-04782) and include a detailed breakdown of hours logged by the</w:t>
      </w:r>
      <w:r>
        <w:t xml:space="preserve"> </w:t>
      </w:r>
      <w:r>
        <w:t xml:space="preserve">Translator Interpreter</w:t>
      </w:r>
      <w:r>
        <w:t xml:space="preserve"> </w:t>
      </w:r>
      <w:r>
        <w:t xml:space="preserve">in</w:t>
      </w:r>
      <w:r>
        <w:t xml:space="preserve"> </w:t>
      </w:r>
      <w:r>
        <w:t xml:space="preserve">Russia Saint Petersburg</w:t>
      </w:r>
      <w:r>
        <w:t xml:space="preserve">. Payment shall be processed via wire transfer to the vendor's designated account in the Russian Federation.</w:t>
      </w:r>
    </w:p>
    <w:p>
      <w:pPr>
        <w:numPr>
          <w:ilvl w:val="0"/>
          <w:numId w:val="1001"/>
        </w:numPr>
        <w:pStyle w:val="Compact"/>
      </w:pPr>
      <w:r>
        <w:rPr>
          <w:bCs/>
          <w:b/>
        </w:rPr>
        <w:t xml:space="preserve">Performance Standards:</w:t>
      </w:r>
      <w:r>
        <w:t xml:space="preserve"> </w:t>
      </w:r>
      <w:r>
        <w:t xml:space="preserve">The</w:t>
      </w:r>
      <w:r>
        <w:t xml:space="preserve"> </w:t>
      </w:r>
      <w:r>
        <w:t xml:space="preserve">Translator Interpreter</w:t>
      </w:r>
      <w:r>
        <w:t xml:space="preserve"> </w:t>
      </w:r>
      <w:r>
        <w:t xml:space="preserve">must maintain a minimum 98% accuracy rate for all interpreted and translated materials. Any errors identified by the purchasing entity within ten (10) business days of service delivery shall be corrected at no additional cost under this</w:t>
      </w:r>
      <w:r>
        <w:t xml:space="preserve"> </w:t>
      </w:r>
      <w:r>
        <w:t xml:space="preserve">Purchase Order</w:t>
      </w:r>
      <w:r>
        <w:t xml:space="preserve">.</w:t>
      </w:r>
    </w:p>
    <w:p>
      <w:pPr>
        <w:numPr>
          <w:ilvl w:val="0"/>
          <w:numId w:val="1001"/>
        </w:numPr>
        <w:pStyle w:val="Compact"/>
      </w:pPr>
      <w:r>
        <w:rPr>
          <w:bCs/>
          <w:b/>
        </w:rPr>
        <w:t xml:space="preserve">Substitution:</w:t>
      </w:r>
      <w:r>
        <w:t xml:space="preserve"> </w:t>
      </w:r>
      <w:r>
        <w:t xml:space="preserve">The service provider shall not substitute the assigned</w:t>
      </w:r>
      <w:r>
        <w:t xml:space="preserve"> </w:t>
      </w:r>
      <w:r>
        <w:t xml:space="preserve">Translator Interpreter</w:t>
      </w:r>
      <w:r>
        <w:t xml:space="preserve"> </w:t>
      </w:r>
      <w:r>
        <w:t xml:space="preserve">without the prior written consent of the purchasing entity. Any proposed replacement must meet or exceed the qualifications specified in Section 3 of this</w:t>
      </w:r>
      <w:r>
        <w:t xml:space="preserve"> </w:t>
      </w:r>
      <w:r>
        <w:t xml:space="preserve">Purchase Order</w:t>
      </w:r>
      <w:r>
        <w:t xml:space="preserve">.</w:t>
      </w:r>
    </w:p>
    <w:p>
      <w:pPr>
        <w:numPr>
          <w:ilvl w:val="0"/>
          <w:numId w:val="1001"/>
        </w:numPr>
        <w:pStyle w:val="Compact"/>
      </w:pPr>
      <w:r>
        <w:rPr>
          <w:bCs/>
          <w:b/>
        </w:rPr>
        <w:t xml:space="preserve">Compliance:</w:t>
      </w:r>
      <w:r>
        <w:t xml:space="preserve"> </w:t>
      </w:r>
      <w:r>
        <w:t xml:space="preserve">All services rendered in</w:t>
      </w:r>
      <w:r>
        <w:t xml:space="preserve"> </w:t>
      </w:r>
      <w:r>
        <w:t xml:space="preserve">Russia Saint Petersburg</w:t>
      </w:r>
      <w:r>
        <w:t xml:space="preserve"> </w:t>
      </w:r>
      <w:r>
        <w:t xml:space="preserve">shall comply with the applicable labor laws of the Russian Federation, international trade regulations, and any relevant sanctions or export control frameworks in force at the time of service delivery.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purchasing entity shall be liable only for services actually rendered by the</w:t>
      </w:r>
      <w:r>
        <w:t xml:space="preserve"> </w:t>
      </w:r>
      <w:r>
        <w:t xml:space="preserve">Translator Interpreter</w:t>
      </w:r>
      <w:r>
        <w:t xml:space="preserve"> </w:t>
      </w:r>
      <w:r>
        <w:t xml:space="preserve">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United Nations Convention on Contracts for the International Sale of Goods (CISG). Disputes shall be resolved through arbitration in Geneva, Switzerland, under the rules of the ICC.</w:t>
      </w:r>
    </w:p>
    <w:p>
      <w:pPr>
        <w:pStyle w:val="FirstParagraph"/>
      </w:pPr>
      <w:r>
        <w:t xml:space="preserve">6. Delivery and Service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Translator Interpreter credential verification and NDA execution</w:t>
            </w:r>
          </w:p>
        </w:tc>
        <w:tc>
          <w:tcPr/>
          <w:p>
            <w:pPr>
              <w:pStyle w:val="Compact"/>
              <w:jc w:val="left"/>
            </w:pPr>
            <w:r>
              <w:t xml:space="preserve">June 17, 2025</w:t>
            </w:r>
          </w:p>
        </w:tc>
        <w:tc>
          <w:tcPr/>
          <w:p>
            <w:pPr>
              <w:pStyle w:val="Compact"/>
              <w:jc w:val="left"/>
            </w:pPr>
            <w:r>
              <w:t xml:space="preserve">Russia Saint Petersburg</w:t>
            </w:r>
          </w:p>
        </w:tc>
      </w:tr>
      <w:tr>
        <w:tc>
          <w:tcPr/>
          <w:p>
            <w:pPr>
              <w:pStyle w:val="Compact"/>
              <w:jc w:val="left"/>
            </w:pPr>
            <w:r>
              <w:t xml:space="preserve">Commencement of on-site interpretation services</w:t>
            </w:r>
          </w:p>
        </w:tc>
        <w:tc>
          <w:tcPr/>
          <w:p>
            <w:pPr>
              <w:pStyle w:val="Compact"/>
              <w:jc w:val="left"/>
            </w:pPr>
            <w:r>
              <w:t xml:space="preserve">June 20, 2025</w:t>
            </w:r>
          </w:p>
        </w:tc>
        <w:tc>
          <w:tcPr/>
          <w:p>
            <w:pPr>
              <w:pStyle w:val="Compact"/>
              <w:jc w:val="left"/>
            </w:pPr>
            <w:r>
              <w:t xml:space="preserve">Russia Saint Petersburg</w:t>
            </w:r>
          </w:p>
        </w:tc>
      </w:tr>
      <w:tr>
        <w:tc>
          <w:tcPr/>
          <w:p>
            <w:pPr>
              <w:pStyle w:val="Compact"/>
              <w:jc w:val="left"/>
            </w:pPr>
            <w:r>
              <w:t xml:space="preserve">Mid-engagement progress review</w:t>
            </w:r>
          </w:p>
        </w:tc>
        <w:tc>
          <w:tcPr/>
          <w:p>
            <w:pPr>
              <w:pStyle w:val="Compact"/>
              <w:jc w:val="left"/>
            </w:pPr>
            <w:r>
              <w:t xml:space="preserve">July 3, 2025</w:t>
            </w:r>
          </w:p>
        </w:tc>
        <w:tc>
          <w:tcPr/>
          <w:p>
            <w:pPr>
              <w:pStyle w:val="Compact"/>
              <w:jc w:val="left"/>
            </w:pPr>
            <w:r>
              <w:t xml:space="preserve">Russia Saint Petersburg</w:t>
            </w:r>
          </w:p>
        </w:tc>
      </w:tr>
      <w:tr>
        <w:tc>
          <w:tcPr/>
          <w:p>
            <w:pPr>
              <w:pStyle w:val="Compact"/>
              <w:jc w:val="left"/>
            </w:pPr>
            <w:r>
              <w:t xml:space="preserve">Completion of all services and final deliverables</w:t>
            </w:r>
          </w:p>
        </w:tc>
        <w:tc>
          <w:tcPr/>
          <w:p>
            <w:pPr>
              <w:pStyle w:val="Compact"/>
              <w:jc w:val="left"/>
            </w:pPr>
            <w:r>
              <w:t xml:space="preserve">July 15, 2025</w:t>
            </w:r>
          </w:p>
        </w:tc>
        <w:tc>
          <w:tcPr/>
          <w:p>
            <w:pPr>
              <w:pStyle w:val="Compact"/>
              <w:jc w:val="left"/>
            </w:pPr>
            <w:r>
              <w:t xml:space="preserve">Russia Saint Petersburg</w:t>
            </w:r>
          </w:p>
        </w:tc>
      </w:tr>
      <w:tr>
        <w:tc>
          <w:tcPr/>
          <w:p>
            <w:pPr>
              <w:pStyle w:val="Compact"/>
              <w:jc w:val="left"/>
            </w:pPr>
            <w:r>
              <w:t xml:space="preserve">Final invoice submission and closeout</w:t>
            </w:r>
          </w:p>
        </w:tc>
        <w:tc>
          <w:tcPr/>
          <w:p>
            <w:pPr>
              <w:pStyle w:val="Compact"/>
              <w:jc w:val="left"/>
            </w:pPr>
            <w:r>
              <w:t xml:space="preserve">July 22, 2025</w:t>
            </w:r>
          </w:p>
        </w:tc>
        <w:tc>
          <w:tcPr/>
          <w:p>
            <w:pPr>
              <w:pStyle w:val="Compact"/>
              <w:jc w:val="left"/>
            </w:pPr>
            <w:r>
              <w:t xml:space="preserve">Remote / Electronic</w:t>
            </w:r>
          </w:p>
        </w:tc>
      </w:tr>
    </w:tbl>
    <w:p>
      <w:pPr>
        <w:pStyle w:val="BodyText"/>
      </w:pPr>
      <w:r>
        <w:t xml:space="preserve">7. Authorization and Signatures</w:t>
      </w:r>
    </w:p>
    <w:p>
      <w:pPr>
        <w:pStyle w:val="BodyText"/>
      </w:pPr>
      <w:r>
        <w:t xml:space="preserve">By signing below, the authorized representatives of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Russia Saint Petersburg</w:t>
      </w:r>
      <w:r>
        <w:t xml:space="preserve">. This document constitutes a binding procurement instrument upon execution by both parties.</w:t>
      </w:r>
    </w:p>
    <w:p>
      <w:pPr>
        <w:pStyle w:val="BodyText"/>
      </w:pPr>
      <w:r>
        <w:rPr>
          <w:bCs/>
          <w:b/>
        </w:rPr>
        <w:t xml:space="preserve">For the Purchasing Entity</w:t>
      </w:r>
      <w:r>
        <w:br/>
      </w:r>
      <w:r>
        <w:t xml:space="preserve">Margaret Chen</w:t>
      </w:r>
      <w:r>
        <w:br/>
      </w:r>
      <w:r>
        <w:t xml:space="preserve">Senior Procurement Manager</w:t>
      </w:r>
      <w:r>
        <w:br/>
      </w:r>
      <w:r>
        <w:t xml:space="preserve">GlobalBridge International Consulting LLC</w:t>
      </w:r>
      <w:r>
        <w:br/>
      </w:r>
      <w:r>
        <w:t xml:space="preserve">Date: _______________</w:t>
      </w:r>
    </w:p>
    <w:p>
      <w:pPr>
        <w:pStyle w:val="BodyText"/>
      </w:pPr>
      <w:r>
        <w:rPr>
          <w:bCs/>
          <w:b/>
        </w:rPr>
        <w:t xml:space="preserve">For the Service Provider</w:t>
      </w:r>
      <w:r>
        <w:br/>
      </w:r>
      <w:r>
        <w:t xml:space="preserve">Dmitry Volkov</w:t>
      </w:r>
      <w:r>
        <w:br/>
      </w:r>
      <w:r>
        <w:t xml:space="preserve">Head of Corporate Contracts</w:t>
      </w:r>
      <w:r>
        <w:br/>
      </w:r>
      <w:r>
        <w:t xml:space="preserve">Baltic Linguistic Solutions OOO</w:t>
      </w:r>
      <w:r>
        <w:br/>
      </w:r>
      <w:r>
        <w:t xml:space="preserve">Date: _______________</w:t>
      </w:r>
    </w:p>
    <w:p>
      <w:pPr>
        <w:pStyle w:val="BodyText"/>
      </w:pPr>
      <w:r>
        <w:t xml:space="preserve">[ COMPANY SEAL / OFFICIAL STAMP AREA ]</w:t>
      </w:r>
      <w:r>
        <w:br/>
      </w:r>
      <w:r>
        <w:t xml:space="preserve">This Purchase Order is valid only when bearing the official seal of both parties.</w:t>
      </w:r>
    </w:p>
    <w:p>
      <w:pPr>
        <w:pStyle w:val="BodyText"/>
      </w:pPr>
      <w:r>
        <w:t xml:space="preserve">Purchase Order No. PO-2025-RSP-04782 | Translator Interpreter Services | Russia Saint Petersburg | Page 1 of 1</w:t>
      </w:r>
    </w:p>
    <w:p>
      <w:pPr>
        <w:pStyle w:val="BodyText"/>
      </w:pPr>
      <w:r>
        <w:t xml:space="preserve">GlobalBridge International Consulting LLC – Procurement &amp; Supply Chain Division | Document Classification: Commercial – Confidential</w:t>
      </w:r>
    </w:p>
    <w:p>
      <w:pPr>
        <w:pStyle w:val="BodyText"/>
      </w:pPr>
      <w:r>
        <w:t xml:space="preserve">This Purchase Order is electronically generated and carries the same legal weight as a physically signed document under applicable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Russia Saint Petersburg</dc:title>
  <dc:creator/>
  <dc:language>en</dc:language>
  <cp:keywords/>
  <dcterms:created xsi:type="dcterms:W3CDTF">2026-10-10T08:50:35Z</dcterms:created>
  <dcterms:modified xsi:type="dcterms:W3CDTF">2026-10-10T08:50:35Z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