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Appointment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Official Procurement Document for the Engagement of a University Lecturer</w:t>
      </w:r>
    </w:p>
    <w:p>
      <w:pPr>
        <w:pStyle w:val="BodyText"/>
      </w:pPr>
      <w:r>
        <w:t xml:space="preserve">Issued in Malaysia Kuala Lumpur | Federal Territory of Kuala Lumpur, Malaysia</w:t>
      </w:r>
    </w:p>
    <w:bookmarkEnd w:id="20"/>
    <w:p>
      <w:pPr>
        <w:pStyle w:val="BodyText"/>
      </w:pPr>
      <w:r>
        <w:rPr>
          <w:bCs/>
          <w:b/>
        </w:rPr>
        <w:t xml:space="preserve">Purchase Order No.:</w:t>
      </w:r>
      <w:r>
        <w:t xml:space="preserve"> </w:t>
      </w:r>
      <w:r>
        <w:t xml:space="preserve">PO/UKL/2025/04782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Faculty of Engineering &amp; Technology</w:t>
      </w:r>
      <w:r>
        <w:br/>
      </w:r>
      <w:r>
        <w:rPr>
          <w:bCs/>
          <w:b/>
        </w:rPr>
        <w:t xml:space="preserve">Procurement Ref:</w:t>
      </w:r>
      <w:r>
        <w:t xml:space="preserve"> </w:t>
      </w:r>
      <w:r>
        <w:t xml:space="preserve">FET/HR/2025/112</w:t>
      </w:r>
      <w:r>
        <w:br/>
      </w:r>
      <w:r>
        <w:rPr>
          <w:bCs/>
          <w:b/>
        </w:rPr>
        <w:t xml:space="preserve">Classification:</w:t>
      </w:r>
      <w:r>
        <w:t xml:space="preserve"> </w:t>
      </w:r>
      <w:r>
        <w:t xml:space="preserve">Internal – Confidential</w:t>
      </w:r>
    </w:p>
    <w:p>
      <w:pPr>
        <w:pStyle w:val="BodyText"/>
      </w:pPr>
      <w:r>
        <w:t xml:space="preserve">1. Purchasing Institution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Universiti Teknologi Malaysia Kuala Lumpur (UTM KL)</w:t>
            </w:r>
          </w:p>
        </w:tc>
      </w:tr>
      <w:tr>
        <w:tc>
          <w:tcPr/>
          <w:p>
            <w:pPr>
              <w:pStyle w:val="Compact"/>
              <w:jc w:val="left"/>
            </w:pPr>
            <w:r>
              <w:t xml:space="preserve">Address</w:t>
            </w:r>
          </w:p>
        </w:tc>
        <w:tc>
          <w:tcPr/>
          <w:p>
            <w:pPr>
              <w:pStyle w:val="Compact"/>
              <w:jc w:val="left"/>
            </w:pPr>
            <w:r>
              <w:t xml:space="preserve">Level 12, Menara UTM, Jalan Sultan Ismail, 50250 Malaysia Kuala Lumpur, Federal Territory, Malaysia</w:t>
            </w:r>
          </w:p>
        </w:tc>
      </w:tr>
      <w:tr>
        <w:tc>
          <w:tcPr/>
          <w:p>
            <w:pPr>
              <w:pStyle w:val="Compact"/>
              <w:jc w:val="left"/>
            </w:pPr>
            <w:r>
              <w:t xml:space="preserve">Registration No.</w:t>
            </w:r>
          </w:p>
        </w:tc>
        <w:tc>
          <w:tcPr/>
          <w:p>
            <w:pPr>
              <w:pStyle w:val="Compact"/>
              <w:jc w:val="left"/>
            </w:pPr>
            <w:r>
              <w:t xml:space="preserve">200301012345 (Sdn. Bhd.)</w:t>
            </w:r>
          </w:p>
        </w:tc>
      </w:tr>
      <w:tr>
        <w:tc>
          <w:tcPr/>
          <w:p>
            <w:pPr>
              <w:pStyle w:val="Compact"/>
              <w:jc w:val="left"/>
            </w:pPr>
            <w:r>
              <w:t xml:space="preserve">Authorised Officer</w:t>
            </w:r>
          </w:p>
        </w:tc>
        <w:tc>
          <w:tcPr/>
          <w:p>
            <w:pPr>
              <w:pStyle w:val="Compact"/>
              <w:jc w:val="left"/>
            </w:pPr>
            <w:r>
              <w:t xml:space="preserve">Prof. Dr. Ahmad bin Razali, Dean, Faculty of Engineering &amp; Technology</w:t>
            </w:r>
          </w:p>
        </w:tc>
      </w:tr>
      <w:tr>
        <w:tc>
          <w:tcPr/>
          <w:p>
            <w:pPr>
              <w:pStyle w:val="Compact"/>
              <w:jc w:val="left"/>
            </w:pPr>
            <w:r>
              <w:t xml:space="preserve">Contact</w:t>
            </w:r>
          </w:p>
        </w:tc>
        <w:tc>
          <w:tcPr/>
          <w:p>
            <w:pPr>
              <w:pStyle w:val="Compact"/>
              <w:jc w:val="left"/>
            </w:pPr>
            <w:r>
              <w:t xml:space="preserve">procurement@utmkl.edu.my | +603-2690 4000</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Sarah Lim Wei Ching, Independent Academic Consultant</w:t>
            </w:r>
          </w:p>
        </w:tc>
      </w:tr>
      <w:tr>
        <w:tc>
          <w:tcPr/>
          <w:p>
            <w:pPr>
              <w:pStyle w:val="Compact"/>
              <w:jc w:val="left"/>
            </w:pPr>
            <w:r>
              <w:t xml:space="preserve">Address</w:t>
            </w:r>
          </w:p>
        </w:tc>
        <w:tc>
          <w:tcPr/>
          <w:p>
            <w:pPr>
              <w:pStyle w:val="Compact"/>
              <w:jc w:val="left"/>
            </w:pPr>
            <w:r>
              <w:t xml:space="preserve">Unit 8-3, Menara Sentral, Jalan Stesen Sentral 5, 50470 Malaysia Kuala Lumpur, Federal Territory, Malaysia</w:t>
            </w:r>
          </w:p>
        </w:tc>
      </w:tr>
      <w:tr>
        <w:tc>
          <w:tcPr/>
          <w:p>
            <w:pPr>
              <w:pStyle w:val="Compact"/>
              <w:jc w:val="left"/>
            </w:pPr>
            <w:r>
              <w:t xml:space="preserve">MyKad / Passport No.</w:t>
            </w:r>
          </w:p>
        </w:tc>
        <w:tc>
          <w:tcPr/>
          <w:p>
            <w:pPr>
              <w:pStyle w:val="Compact"/>
              <w:jc w:val="left"/>
            </w:pPr>
            <w:r>
              <w:t xml:space="preserve">850612-10-4421</w:t>
            </w:r>
          </w:p>
        </w:tc>
      </w:tr>
      <w:tr>
        <w:tc>
          <w:tcPr/>
          <w:p>
            <w:pPr>
              <w:pStyle w:val="Compact"/>
              <w:jc w:val="left"/>
            </w:pPr>
            <w:r>
              <w:t xml:space="preserve">Bank Details</w:t>
            </w:r>
          </w:p>
        </w:tc>
        <w:tc>
          <w:tcPr/>
          <w:p>
            <w:pPr>
              <w:pStyle w:val="Compact"/>
              <w:jc w:val="left"/>
            </w:pPr>
            <w:r>
              <w:t xml:space="preserve">Maybank Berhad | A/C: 5123-4567-8901 | SWIFT: BMMBMYKL</w:t>
            </w:r>
          </w:p>
        </w:tc>
      </w:tr>
      <w:tr>
        <w:tc>
          <w:tcPr/>
          <w:p>
            <w:pPr>
              <w:pStyle w:val="Compact"/>
              <w:jc w:val="left"/>
            </w:pPr>
            <w:r>
              <w:t xml:space="preserve">Contact</w:t>
            </w:r>
          </w:p>
        </w:tc>
        <w:tc>
          <w:tcPr/>
          <w:p>
            <w:pPr>
              <w:pStyle w:val="Compact"/>
              <w:jc w:val="left"/>
            </w:pPr>
            <w:r>
              <w:t xml:space="preserve">sarah.lim@academicconsult.my | +6012-345 6789</w:t>
            </w:r>
          </w:p>
        </w:tc>
      </w:tr>
    </w:tbl>
    <w:p>
      <w:pPr>
        <w:pStyle w:val="BodyText"/>
      </w:pPr>
      <w:r>
        <w:t xml:space="preserve">3. Description of Goods / Services Procured</w:t>
      </w:r>
    </w:p>
    <w:p>
      <w:pPr>
        <w:pStyle w:val="BodyText"/>
      </w:pPr>
      <w:r>
        <w:t xml:space="preserve">This</w:t>
      </w:r>
      <w:r>
        <w:t xml:space="preserve"> </w:t>
      </w:r>
      <w:r>
        <w:t xml:space="preserve">Purchase Order</w:t>
      </w:r>
      <w:r>
        <w:t xml:space="preserve"> </w:t>
      </w:r>
      <w:r>
        <w:t xml:space="preserve">is issued by Universiti Teknologi Malaysia Kuala Lumpur for the formal engagement of a</w:t>
      </w:r>
      <w:r>
        <w:t xml:space="preserve"> </w:t>
      </w:r>
      <w:r>
        <w:t xml:space="preserve">University Lecturer</w:t>
      </w:r>
      <w:r>
        <w:t xml:space="preserve"> </w:t>
      </w:r>
      <w:r>
        <w:t xml:space="preserve">to deliver academic instruction, supervise research students, and contribute to curriculum development within the Faculty of Engineering &amp; Technology. The</w:t>
      </w:r>
      <w:r>
        <w:t xml:space="preserve"> </w:t>
      </w:r>
      <w:r>
        <w:t xml:space="preserve">University Lecturer</w:t>
      </w:r>
      <w:r>
        <w:t xml:space="preserve"> </w:t>
      </w:r>
      <w:r>
        <w:t xml:space="preserve">shall be based at the institution's primary campus located in</w:t>
      </w:r>
      <w:r>
        <w:t xml:space="preserve"> </w:t>
      </w:r>
      <w:r>
        <w:t xml:space="preserve">Malaysia Kuala Lumpur</w:t>
      </w:r>
      <w:r>
        <w:t xml:space="preserve"> </w:t>
      </w:r>
      <w:r>
        <w:t xml:space="preserve">and shall perform all duties in accordance with the academic calendar and institutional policies of the university.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Appointment of University Lecturer – Full-Time Academic Position (Grade L8) in the Department of Mechanical Engineering. The University Lecturer shall deliver a minimum of 18 contact hours per week across undergraduate and postgraduate programmes.</w:t>
            </w:r>
          </w:p>
        </w:tc>
        <w:tc>
          <w:tcPr/>
          <w:p>
            <w:pPr>
              <w:pStyle w:val="Compact"/>
              <w:jc w:val="left"/>
            </w:pPr>
            <w:r>
              <w:t xml:space="preserve">12 months (1 Aug 2025 – 31 Jul 2026)</w:t>
            </w:r>
          </w:p>
        </w:tc>
        <w:tc>
          <w:tcPr/>
          <w:p>
            <w:pPr>
              <w:pStyle w:val="Compact"/>
              <w:jc w:val="left"/>
            </w:pPr>
            <w:r>
              <w:t xml:space="preserve">12,500.00 / month</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Research Supervision Allowance – The University Lecturer shall supervise a minimum of three (3) postgraduate (Master's) students and one (1) Doctoral candidate per academic year, as per the research policy of the university in Malaysia Kuala Lumpur.</w:t>
            </w:r>
          </w:p>
        </w:tc>
        <w:tc>
          <w:tcPr/>
          <w:p>
            <w:pPr>
              <w:pStyle w:val="Compact"/>
              <w:jc w:val="left"/>
            </w:pPr>
            <w:r>
              <w:t xml:space="preserve">12 months</w:t>
            </w:r>
          </w:p>
        </w:tc>
        <w:tc>
          <w:tcPr/>
          <w:p>
            <w:pPr>
              <w:pStyle w:val="Compact"/>
              <w:jc w:val="left"/>
            </w:pPr>
            <w:r>
              <w:t xml:space="preserve">2,000.00 / month</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Curriculum Development &amp; Accreditation Support – The University Lecturer shall participate in the revision of course outlines, prepare assessment materials, and support the Malaysian Qualifications Agency (MQA) accreditation process for the BEng (Mechanical) programme.</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Professional Development &amp; Conference Participation – Funding for the University Lecturer to attend a minimum of two (2) international academic conferences and one (1) domestic workshop in Malaysia Kuala Lumpur or abroad during the contract period.</w:t>
            </w:r>
          </w:p>
        </w:tc>
        <w:tc>
          <w:tcPr/>
          <w:p>
            <w:pPr>
              <w:pStyle w:val="Compact"/>
              <w:jc w:val="left"/>
            </w:pPr>
            <w:r>
              <w:t xml:space="preserve">12 months</w:t>
            </w:r>
          </w:p>
        </w:tc>
        <w:tc>
          <w:tcPr/>
          <w:p>
            <w:pPr>
              <w:pStyle w:val="Compact"/>
              <w:jc w:val="left"/>
            </w:pPr>
            <w:r>
              <w:t xml:space="preserve">Flat rate</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Office &amp; Laboratory Access – Provision of a dedicated office space, laboratory access, and institutional IT resources (email, LMS, database subscriptions) at the Malaysia Kuala Lumpur campus.</w:t>
            </w:r>
          </w:p>
        </w:tc>
        <w:tc>
          <w:tcPr/>
          <w:p>
            <w:pPr>
              <w:pStyle w:val="Compact"/>
              <w:jc w:val="left"/>
            </w:pPr>
            <w:r>
              <w:t xml:space="preserve">12 months</w:t>
            </w:r>
          </w:p>
        </w:tc>
        <w:tc>
          <w:tcPr/>
          <w:p>
            <w:pPr>
              <w:pStyle w:val="Compact"/>
              <w:jc w:val="left"/>
            </w:pPr>
            <w:r>
              <w:t xml:space="preserve">Included</w:t>
            </w:r>
          </w:p>
        </w:tc>
        <w:tc>
          <w:tcPr/>
          <w:p>
            <w:pPr>
              <w:pStyle w:val="Compact"/>
              <w:jc w:val="left"/>
            </w:pPr>
            <w:r>
              <w:t xml:space="preserve">0.00</w:t>
            </w:r>
          </w:p>
        </w:tc>
      </w:tr>
      <w:tr>
        <w:tc>
          <w:tcPr>
            <w:gridSpan w:val="4"/>
          </w:tcPr>
          <w:p>
            <w:pPr>
              <w:pStyle w:val="Compact"/>
              <w:jc w:val="left"/>
            </w:pPr>
            <w:r>
              <w:rPr>
                <w:bCs/>
                <w:b/>
              </w:rPr>
              <w:t xml:space="preserve">SUBTOTAL</w:t>
            </w:r>
          </w:p>
        </w:tc>
        <w:tc>
          <w:tcPr/>
          <w:p>
            <w:pPr>
              <w:pStyle w:val="Compact"/>
              <w:jc w:val="left"/>
            </w:pPr>
            <w:r>
              <w:rPr>
                <w:bCs/>
                <w:b/>
              </w:rPr>
              <w:t xml:space="preserve">200,000.00</w:t>
            </w:r>
          </w:p>
        </w:tc>
      </w:tr>
      <w:tr>
        <w:tc>
          <w:tcPr>
            <w:gridSpan w:val="4"/>
          </w:tcPr>
          <w:p>
            <w:pPr>
              <w:pStyle w:val="Compact"/>
              <w:jc w:val="left"/>
            </w:pPr>
            <w:r>
              <w:t xml:space="preserve">Statutory Deductions (EPF 13%, SOCSO, EIS, PCB Tax as per Malaysian law)</w:t>
            </w:r>
          </w:p>
        </w:tc>
        <w:tc>
          <w:tcPr/>
          <w:p>
            <w:pPr>
              <w:pStyle w:val="Compact"/>
              <w:jc w:val="left"/>
            </w:pPr>
            <w:r>
              <w:t xml:space="preserve">(34,000.00)</w:t>
            </w:r>
          </w:p>
        </w:tc>
      </w:tr>
      <w:tr>
        <w:tc>
          <w:tcPr>
            <w:gridSpan w:val="4"/>
          </w:tcPr>
          <w:p>
            <w:pPr>
              <w:pStyle w:val="Compact"/>
              <w:jc w:val="left"/>
            </w:pPr>
            <w:r>
              <w:rPr>
                <w:bCs/>
                <w:b/>
              </w:rPr>
              <w:t xml:space="preserve">NET PAYABLE AMOUNT (MYR)</w:t>
            </w:r>
          </w:p>
        </w:tc>
        <w:tc>
          <w:tcPr/>
          <w:p>
            <w:pPr>
              <w:pStyle w:val="Compact"/>
              <w:jc w:val="left"/>
            </w:pPr>
            <w:r>
              <w:rPr>
                <w:bCs/>
                <w:b/>
              </w:rPr>
              <w:t xml:space="preserve">166,000.00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University Lecturer (Supplier) within fourteen (14) calendar days of the date of issue. Failure to accept within this period shall render this Purchase Order null and void.</w:t>
      </w:r>
    </w:p>
    <w:p>
      <w:pPr>
        <w:numPr>
          <w:ilvl w:val="0"/>
          <w:numId w:val="1001"/>
        </w:numPr>
        <w:pStyle w:val="Compact"/>
      </w:pPr>
      <w:r>
        <w:rPr>
          <w:bCs/>
          <w:b/>
        </w:rPr>
        <w:t xml:space="preserve">Commencement:</w:t>
      </w:r>
      <w:r>
        <w:t xml:space="preserve"> </w:t>
      </w:r>
      <w:r>
        <w:t xml:space="preserve">The University Lecturer shall report for duty on 1 August 2025 at the Faculty of Engineering &amp; Technology, Universiti Teknologi Malaysia Kuala Lumpur, located in Malaysia Kuala Lumpur. A formal orientation programme shall be conducted during the first two weeks.</w:t>
      </w:r>
    </w:p>
    <w:p>
      <w:pPr>
        <w:numPr>
          <w:ilvl w:val="0"/>
          <w:numId w:val="1001"/>
        </w:numPr>
        <w:pStyle w:val="Compact"/>
      </w:pPr>
      <w:r>
        <w:rPr>
          <w:bCs/>
          <w:b/>
        </w:rPr>
        <w:t xml:space="preserve">Payment Terms:</w:t>
      </w:r>
      <w:r>
        <w:t xml:space="preserve"> </w:t>
      </w:r>
      <w:r>
        <w:t xml:space="preserve">All remuneration shall be paid on a monthly basis via electronic bank transfer (e-Transfer) to the bank account specified in Section 2. Payment shall be processed within thirty (30) days from the end of each calendar month, subject to completion of all statutory deductions mandated by the Inland Revenue Board of Malaysia (LHDN) and the Employees Provident Fund (EPF).</w:t>
      </w:r>
    </w:p>
    <w:p>
      <w:pPr>
        <w:numPr>
          <w:ilvl w:val="0"/>
          <w:numId w:val="1001"/>
        </w:numPr>
        <w:pStyle w:val="Compact"/>
      </w:pPr>
      <w:r>
        <w:rPr>
          <w:bCs/>
          <w:b/>
        </w:rPr>
        <w:t xml:space="preserve">Working Hours:</w:t>
      </w:r>
      <w:r>
        <w:t xml:space="preserve"> </w:t>
      </w:r>
      <w:r>
        <w:t xml:space="preserve">The University Lecturer shall adhere to the standard academic working hours of the institution, which are Monday to Friday, 8:30 AM to 5:30 PM, with additional hours as required for examination invigilation, committee meetings, and student supervision. The University Lecturer shall be entitled to a minimum of 14 days of annual leave and 14 days of sick leave per academic year, in accordance with the Employment Act 1955 of Malaysia.</w:t>
      </w:r>
    </w:p>
    <w:p>
      <w:pPr>
        <w:numPr>
          <w:ilvl w:val="0"/>
          <w:numId w:val="1001"/>
        </w:numPr>
        <w:pStyle w:val="Compact"/>
      </w:pPr>
      <w:r>
        <w:rPr>
          <w:bCs/>
          <w:b/>
        </w:rPr>
        <w:t xml:space="preserve">Confidentiality:</w:t>
      </w:r>
      <w:r>
        <w:t xml:space="preserve"> </w:t>
      </w:r>
      <w:r>
        <w:t xml:space="preserve">The University Lecturer shall maintain strict confidentiality regarding all student records, research data, unpublished manuscripts, and institutional proprietary information.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research outputs, publications, patents, and intellectual property developed by the University Lecturer during the course of employment and using institutional resources in Malaysia Kuala Lumpur shall be jointly owned by the University Lecturer and the institution, as stipulated in the university's Intellectual Property Policy 2024.</w:t>
      </w:r>
    </w:p>
    <w:p>
      <w:pPr>
        <w:numPr>
          <w:ilvl w:val="0"/>
          <w:numId w:val="1001"/>
        </w:numPr>
        <w:pStyle w:val="Compact"/>
      </w:pPr>
      <w:r>
        <w:rPr>
          <w:bCs/>
          <w:b/>
        </w:rPr>
        <w:t xml:space="preserve">Termination:</w:t>
      </w:r>
      <w:r>
        <w:t xml:space="preserve"> </w:t>
      </w:r>
      <w:r>
        <w:t xml:space="preserve">Either party may terminate this Purchase Order by providing three (3) months' written notice. The institution may terminate immediately in the event of gross misconduct, academic dishonesty, or breach of the code of conduct as defined by the Malaysian Education Ministry guidelines.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Malaysia. Any disputes arising from this Purchase Order shall be subject to the exclusive jurisdiction of the courts of Malaysia Kuala Lumpur.</w:t>
      </w:r>
    </w:p>
    <w:p>
      <w:pPr>
        <w:numPr>
          <w:ilvl w:val="0"/>
          <w:numId w:val="1001"/>
        </w:numPr>
        <w:pStyle w:val="Compact"/>
      </w:pPr>
      <w:r>
        <w:rPr>
          <w:bCs/>
          <w:b/>
        </w:rPr>
        <w:t xml:space="preserve">Compliance:</w:t>
      </w:r>
      <w:r>
        <w:t xml:space="preserve"> </w:t>
      </w:r>
      <w:r>
        <w:t xml:space="preserve">The University Lecturer shall comply with all applicable Malaysian legislation, including the Education Act 1996, the Employment Act 1955, the Personal Data Protection Act 2010 (PDPA), and all internal regulations of the institution.</w:t>
      </w:r>
    </w:p>
    <w:p>
      <w:pPr>
        <w:numPr>
          <w:ilvl w:val="0"/>
          <w:numId w:val="1001"/>
        </w:numPr>
        <w:pStyle w:val="Compact"/>
      </w:pPr>
      <w:r>
        <w:rPr>
          <w:bCs/>
          <w:b/>
        </w:rPr>
        <w:t xml:space="preserve">Amendments:</w:t>
      </w:r>
      <w:r>
        <w:t xml:space="preserve"> </w:t>
      </w:r>
      <w:r>
        <w:t xml:space="preserve">No amendment to this Purchase Order shall be valid unless made in writing and signed by both the Authorised Officer of the institution and the University Lecturer.</w:t>
      </w:r>
    </w:p>
    <w:p>
      <w:pPr>
        <w:pStyle w:val="FirstParagraph"/>
      </w:pPr>
      <w:r>
        <w:t xml:space="preserve">5. Approval and Authorisation</w:t>
      </w:r>
    </w:p>
    <w:p>
      <w:pPr>
        <w:pStyle w:val="BodyText"/>
      </w:pPr>
      <w:r>
        <w:t xml:space="preserve">This Purchase Order has been reviewed and approved by the following authorised officers of Universiti Teknologi Malaysia Kuala Lumpur. The engagement of this University Lecturer has been endorsed by the Academic Board and the Finance Committee of the institution, and all procurement procedures have been conducted in compliance with the Malaysian Government Procurement Guidelines and the institution's internal procurement policy.</w:t>
      </w:r>
    </w:p>
    <w:p>
      <w:pPr>
        <w:pStyle w:val="BodyText"/>
      </w:pPr>
      <w:r>
        <w:rPr>
          <w:bCs/>
          <w:b/>
        </w:rPr>
        <w:t xml:space="preserve">Prepared By:</w:t>
      </w:r>
      <w:r>
        <w:br/>
      </w:r>
      <w:r>
        <w:t xml:space="preserve">Nurul Aisyah binti Hassan</w:t>
      </w:r>
      <w:r>
        <w:br/>
      </w:r>
      <w:r>
        <w:t xml:space="preserve">Procurement Officer, FET</w:t>
      </w:r>
      <w:r>
        <w:br/>
      </w:r>
      <w:r>
        <w:t xml:space="preserve">Date: 15 June 2025</w:t>
      </w:r>
    </w:p>
    <w:p>
      <w:pPr>
        <w:pStyle w:val="BodyText"/>
      </w:pPr>
      <w:r>
        <w:rPr>
          <w:bCs/>
          <w:b/>
        </w:rPr>
        <w:t xml:space="preserve">Approved By (Buyer):</w:t>
      </w:r>
      <w:r>
        <w:br/>
      </w:r>
      <w:r>
        <w:t xml:space="preserve">Prof. Dr. Ahmad bin Razali</w:t>
      </w:r>
      <w:r>
        <w:br/>
      </w:r>
      <w:r>
        <w:t xml:space="preserve">Dean, Faculty of Engineering &amp; Technology</w:t>
      </w:r>
      <w:r>
        <w:br/>
      </w:r>
      <w:r>
        <w:t xml:space="preserve">Universiti Teknologi Malaysia Kuala Lumpur</w:t>
      </w:r>
      <w:r>
        <w:br/>
      </w:r>
      <w:r>
        <w:t xml:space="preserve">Date: 15 June 2025</w:t>
      </w:r>
    </w:p>
    <w:p>
      <w:pPr>
        <w:pStyle w:val="BodyText"/>
      </w:pPr>
      <w:r>
        <w:rPr>
          <w:bCs/>
          <w:b/>
        </w:rPr>
        <w:t xml:space="preserve">Accepted By (University Lecturer):</w:t>
      </w:r>
      <w:r>
        <w:br/>
      </w:r>
      <w:r>
        <w:t xml:space="preserve">Dr. Sarah Lim Wei Ching</w:t>
      </w:r>
      <w:r>
        <w:br/>
      </w:r>
      <w:r>
        <w:t xml:space="preserve">Independent Academic Consultant</w:t>
      </w:r>
      <w:r>
        <w:br/>
      </w:r>
      <w:r>
        <w:t xml:space="preserve">Date: _______________</w:t>
      </w:r>
    </w:p>
    <w:p>
      <w:pPr>
        <w:pStyle w:val="BodyText"/>
      </w:pPr>
      <w:r>
        <w:rPr>
          <w:bCs/>
          <w:b/>
        </w:rPr>
        <w:t xml:space="preserve">Witnessed By:</w:t>
      </w:r>
      <w:r>
        <w:br/>
      </w:r>
      <w:r>
        <w:t xml:space="preserve">Tan Sri (Dr.) Mohd Faizal bin Omar</w:t>
      </w:r>
      <w:r>
        <w:br/>
      </w:r>
      <w:r>
        <w:t xml:space="preserve">Registrar, UTM Kuala Lumpur</w:t>
      </w:r>
      <w:r>
        <w:br/>
      </w:r>
      <w:r>
        <w:t xml:space="preserve">Date: _______________</w:t>
      </w:r>
    </w:p>
    <w:p>
      <w:pPr>
        <w:pStyle w:val="BodyText"/>
      </w:pPr>
      <w:r>
        <w:t xml:space="preserve">This Purchase Order (No. PO/UKL/2025/04782) is an official document of Universiti Teknologi Malaysia Kuala Lumpur. It is issued in Malaysia Kuala Lumpur and is valid for a period of ninety (90) days from the date of issue. Unauthorised reproduction or distribution of this document is strictly prohibited. For queries, contact the Procurement Division at procurement@utmkl.edu.my or +603-2690 4000.</w:t>
      </w:r>
    </w:p>
    <w:p>
      <w:pPr>
        <w:pStyle w:val="BodyText"/>
      </w:pPr>
      <w:r>
        <w:t xml:space="preserve">Document Version: 1.0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Appointment - Malaysia Kuala Lumpur</dc:title>
  <dc:creator/>
  <dc:language>en</dc:language>
  <cp:keywords/>
  <dcterms:created xsi:type="dcterms:W3CDTF">2026-10-10T01:59:37Z</dcterms:created>
  <dcterms:modified xsi:type="dcterms:W3CDTF">2026-10-10T01:59:37Z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