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Universidad Nacional de la Ciudad de México — Office of Academic Procurement</w:t>
      </w:r>
    </w:p>
    <w:bookmarkEnd w:id="20"/>
    <w:p>
      <w:pPr>
        <w:pStyle w:val="BodyText"/>
      </w:pPr>
      <w:r>
        <w:rPr>
          <w:bCs/>
          <w:b/>
        </w:rPr>
        <w:t xml:space="preserve">Purchase Order No.:</w:t>
      </w:r>
      <w:r>
        <w:t xml:space="preserve"> </w:t>
      </w:r>
      <w:r>
        <w:t xml:space="preserve">PO-UMC-2025-04782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PO Type:</w:t>
      </w:r>
      <w:r>
        <w:t xml:space="preserve"> </w:t>
      </w:r>
      <w:r>
        <w:t xml:space="preserve">Professional Services — Academic</w:t>
      </w:r>
      <w:r>
        <w:br/>
      </w:r>
      <w:r>
        <w:rPr>
          <w:bCs/>
          <w:b/>
        </w:rPr>
        <w:t xml:space="preserve">Currency:</w:t>
      </w:r>
      <w:r>
        <w:t xml:space="preserve"> </w:t>
      </w:r>
      <w:r>
        <w:t xml:space="preserve">Mexican Peso (MXN)</w:t>
      </w:r>
      <w:r>
        <w:br/>
      </w:r>
      <w:r>
        <w:rPr>
          <w:bCs/>
          <w:b/>
        </w:rPr>
        <w:t xml:space="preserve">Payment Terms:</w:t>
      </w:r>
      <w:r>
        <w:t xml:space="preserve"> </w:t>
      </w:r>
      <w:r>
        <w:t xml:space="preserve">Net 30 Days</w:t>
      </w:r>
    </w:p>
    <w:p>
      <w:pPr>
        <w:pStyle w:val="BodyText"/>
      </w:pPr>
      <w:r>
        <w:t xml:space="preserve">1. Issuing Institution (Buyer)</w:t>
      </w:r>
    </w:p>
    <w:p>
      <w:pPr>
        <w:pStyle w:val="BodyText"/>
      </w:pPr>
      <w:r>
        <w:rPr>
          <w:bCs/>
          <w:b/>
        </w:rPr>
        <w:t xml:space="preserve">Universidad Nacional de la Ciudad de México</w:t>
      </w:r>
      <w:r>
        <w:br/>
      </w:r>
      <w:r>
        <w:t xml:space="preserve">Office of Academic Procurement and Human Resources</w:t>
      </w:r>
      <w:r>
        <w:br/>
      </w:r>
      <w:r>
        <w:t xml:space="preserve">Av. Universidad 3000, Coyoacán, 04510, Mexico Mexico City, México</w:t>
      </w:r>
      <w:r>
        <w:br/>
      </w:r>
      <w:r>
        <w:t xml:space="preserve">RFC: UMC-840615-XYZ</w:t>
      </w:r>
      <w:r>
        <w:br/>
      </w:r>
      <w:r>
        <w:t xml:space="preserve">Contact: Lic. María Elena Sánchez, Procurement Director</w:t>
      </w:r>
      <w:r>
        <w:br/>
      </w:r>
      <w:r>
        <w:t xml:space="preserve">Email: compras@unam-cdmx.edu.mx | Tel: +52 (55) 5623-2200</w:t>
      </w:r>
    </w:p>
    <w:p>
      <w:pPr>
        <w:pStyle w:val="BodyText"/>
      </w:pPr>
      <w:r>
        <w:t xml:space="preserve">2. Service Provider (Vendor / University Lecturer)</w:t>
      </w:r>
    </w:p>
    <w:p>
      <w:pPr>
        <w:pStyle w:val="BodyText"/>
      </w:pPr>
      <w:r>
        <w:rPr>
          <w:bCs/>
          <w:b/>
        </w:rPr>
        <w:t xml:space="preserve">Dr. Alejandro Ríos Mendoza</w:t>
      </w:r>
      <w:r>
        <w:t xml:space="preserve"> </w:t>
      </w:r>
      <w:r>
        <w:t xml:space="preserve">— University Lecturer</w:t>
      </w:r>
      <w:r>
        <w:br/>
      </w:r>
      <w:r>
        <w:t xml:space="preserve">Independent Academic Consultant &amp; Tenured Faculty</w:t>
      </w:r>
      <w:r>
        <w:br/>
      </w:r>
      <w:r>
        <w:t xml:space="preserve">Calle Insurgentes Sur 1450, Col. Del Valle, 03100, Mexico Mexico City, México</w:t>
      </w:r>
      <w:r>
        <w:br/>
      </w:r>
      <w:r>
        <w:t xml:space="preserve">RFC: RIM-780312-ABC</w:t>
      </w:r>
      <w:r>
        <w:br/>
      </w:r>
      <w:r>
        <w:t xml:space="preserve">CURP: RIMA780312HDFNSD08</w:t>
      </w:r>
      <w:r>
        <w:br/>
      </w:r>
      <w:r>
        <w:t xml:space="preserve">Email: a.rios@lecturer-cdmx.com | Tel: +52 (55) 4123-8890</w:t>
      </w:r>
    </w:p>
    <w:p>
      <w:pPr>
        <w:pStyle w:val="BodyText"/>
      </w:pPr>
      <w:r>
        <w:t xml:space="preserve">3. Scope of Engagement</w:t>
      </w:r>
    </w:p>
    <w:p>
      <w:pPr>
        <w:pStyle w:val="BodyText"/>
      </w:pPr>
      <w:r>
        <w:t xml:space="preserve">This</w:t>
      </w:r>
      <w:r>
        <w:t xml:space="preserve"> </w:t>
      </w:r>
      <w:r>
        <w:t xml:space="preserve">Purchase Order</w:t>
      </w:r>
      <w:r>
        <w:t xml:space="preserve"> </w:t>
      </w:r>
      <w:r>
        <w:t xml:space="preserve">is issued by the Universidad Nacional de la Ciudad de México to formally engage the services of</w:t>
      </w:r>
      <w:r>
        <w:t xml:space="preserve"> </w:t>
      </w:r>
      <w:r>
        <w:t xml:space="preserve">Dr. Alejandro Ríos Mendoza</w:t>
      </w:r>
      <w:r>
        <w:t xml:space="preserve">, a qualified</w:t>
      </w:r>
      <w:r>
        <w:t xml:space="preserve"> </w:t>
      </w:r>
      <w:r>
        <w:t xml:space="preserve">University Lecturer</w:t>
      </w:r>
      <w:r>
        <w:t xml:space="preserve">, for the academic term commencing 1 September 2025 through 20 December 2025. The engagement is governed by the academic regulations of the institution and the applicable labor and tax legislation of the Federal District, Mexico Mexico City. The</w:t>
      </w:r>
      <w:r>
        <w:t xml:space="preserve"> </w:t>
      </w:r>
      <w:r>
        <w:t xml:space="preserve">University Lecturer</w:t>
      </w:r>
      <w:r>
        <w:t xml:space="preserve"> </w:t>
      </w:r>
      <w:r>
        <w:t xml:space="preserve">shall deliver instruction, supervise research projects, and participate in curriculum development activities as detailed in the line items below.</w:t>
      </w:r>
    </w:p>
    <w:p>
      <w:pPr>
        <w:pStyle w:val="BodyText"/>
      </w:pPr>
      <w:r>
        <w:t xml:space="preserve">4. Line Items — Services and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Due Date</w:t>
            </w:r>
          </w:p>
        </w:tc>
      </w:tr>
      <w:tr>
        <w:tc>
          <w:tcPr/>
          <w:p>
            <w:pPr>
              <w:pStyle w:val="Compact"/>
              <w:jc w:val="left"/>
            </w:pPr>
            <w:r>
              <w:t xml:space="preserve">01</w:t>
            </w:r>
          </w:p>
        </w:tc>
        <w:tc>
          <w:tcPr/>
          <w:p>
            <w:pPr>
              <w:pStyle w:val="Compact"/>
              <w:jc w:val="left"/>
            </w:pPr>
            <w:r>
              <w:t xml:space="preserve">Delivery of 12-week lecture series: "Advanced Macroeconomic Theory" (Course Code: ECON-401), 3 hours per week, in-person at the Mexico Mexico City main campus.</w:t>
            </w:r>
          </w:p>
        </w:tc>
        <w:tc>
          <w:tcPr/>
          <w:p>
            <w:pPr>
              <w:pStyle w:val="Compact"/>
              <w:jc w:val="left"/>
            </w:pPr>
            <w:r>
              <w:t xml:space="preserve">36</w:t>
            </w:r>
          </w:p>
        </w:tc>
        <w:tc>
          <w:tcPr/>
          <w:p>
            <w:pPr>
              <w:pStyle w:val="Compact"/>
              <w:jc w:val="left"/>
            </w:pPr>
            <w:r>
              <w:t xml:space="preserve">Hours</w:t>
            </w:r>
          </w:p>
        </w:tc>
        <w:tc>
          <w:tcPr/>
          <w:p>
            <w:pPr>
              <w:pStyle w:val="Compact"/>
              <w:jc w:val="left"/>
            </w:pPr>
            <w:r>
              <w:t xml:space="preserve">2,800.00</w:t>
            </w:r>
          </w:p>
        </w:tc>
        <w:tc>
          <w:tcPr/>
          <w:p>
            <w:pPr>
              <w:pStyle w:val="Compact"/>
              <w:jc w:val="left"/>
            </w:pPr>
            <w:r>
              <w:t xml:space="preserve">100,800.00</w:t>
            </w:r>
          </w:p>
        </w:tc>
        <w:tc>
          <w:tcPr/>
          <w:p>
            <w:pPr>
              <w:pStyle w:val="Compact"/>
              <w:jc w:val="left"/>
            </w:pPr>
            <w:r>
              <w:t xml:space="preserve">20 Dec 2025</w:t>
            </w:r>
          </w:p>
        </w:tc>
      </w:tr>
      <w:tr>
        <w:tc>
          <w:tcPr/>
          <w:p>
            <w:pPr>
              <w:pStyle w:val="Compact"/>
              <w:jc w:val="left"/>
            </w:pPr>
            <w:r>
              <w:t xml:space="preserve">02</w:t>
            </w:r>
          </w:p>
        </w:tc>
        <w:tc>
          <w:tcPr/>
          <w:p>
            <w:pPr>
              <w:pStyle w:val="Compact"/>
              <w:jc w:val="left"/>
            </w:pPr>
            <w:r>
              <w:t xml:space="preserve">Supervision and evaluation of 8 undergraduate thesis projects in the Department of Economics, including bi-weekly meetings and final defense participation.</w:t>
            </w:r>
          </w:p>
        </w:tc>
        <w:tc>
          <w:tcPr/>
          <w:p>
            <w:pPr>
              <w:pStyle w:val="Compact"/>
              <w:jc w:val="left"/>
            </w:pPr>
            <w:r>
              <w:t xml:space="preserve">8</w:t>
            </w:r>
          </w:p>
        </w:tc>
        <w:tc>
          <w:tcPr/>
          <w:p>
            <w:pPr>
              <w:pStyle w:val="Compact"/>
              <w:jc w:val="left"/>
            </w:pPr>
            <w:r>
              <w:t xml:space="preserve">Projects</w:t>
            </w:r>
          </w:p>
        </w:tc>
        <w:tc>
          <w:tcPr/>
          <w:p>
            <w:pPr>
              <w:pStyle w:val="Compact"/>
              <w:jc w:val="left"/>
            </w:pPr>
            <w:r>
              <w:t xml:space="preserve">12,500.00</w:t>
            </w:r>
          </w:p>
        </w:tc>
        <w:tc>
          <w:tcPr/>
          <w:p>
            <w:pPr>
              <w:pStyle w:val="Compact"/>
              <w:jc w:val="left"/>
            </w:pPr>
            <w:r>
              <w:t xml:space="preserve">100,000.00</w:t>
            </w:r>
          </w:p>
        </w:tc>
        <w:tc>
          <w:tcPr/>
          <w:p>
            <w:pPr>
              <w:pStyle w:val="Compact"/>
              <w:jc w:val="left"/>
            </w:pPr>
            <w:r>
              <w:t xml:space="preserve">20 Dec 2025</w:t>
            </w:r>
          </w:p>
        </w:tc>
      </w:tr>
      <w:tr>
        <w:tc>
          <w:tcPr/>
          <w:p>
            <w:pPr>
              <w:pStyle w:val="Compact"/>
              <w:jc w:val="left"/>
            </w:pPr>
            <w:r>
              <w:t xml:space="preserve">03</w:t>
            </w:r>
          </w:p>
        </w:tc>
        <w:tc>
          <w:tcPr/>
          <w:p>
            <w:pPr>
              <w:pStyle w:val="Compact"/>
              <w:jc w:val="left"/>
            </w:pPr>
            <w:r>
              <w:t xml:space="preserve">Development of updated course syllabus, problem sets, and digital learning materials for ECON-401, to be delivered in PDF and LMS-compatible format.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30 Aug 2025</w:t>
            </w:r>
          </w:p>
        </w:tc>
      </w:tr>
      <w:tr>
        <w:tc>
          <w:tcPr/>
          <w:p>
            <w:pPr>
              <w:pStyle w:val="Compact"/>
              <w:jc w:val="left"/>
            </w:pPr>
            <w:r>
              <w:t xml:space="preserve">04</w:t>
            </w:r>
          </w:p>
        </w:tc>
        <w:tc>
          <w:tcPr/>
          <w:p>
            <w:pPr>
              <w:pStyle w:val="Compact"/>
              <w:jc w:val="left"/>
            </w:pPr>
            <w:r>
              <w:t xml:space="preserve">Participation in 2 departmental curriculum review workshops held in Mexico Mexico City, including preparation of a 15-page policy brief on pedagogical innovation.</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9,500.00</w:t>
            </w:r>
          </w:p>
        </w:tc>
        <w:tc>
          <w:tcPr/>
          <w:p>
            <w:pPr>
              <w:pStyle w:val="Compact"/>
              <w:jc w:val="left"/>
            </w:pPr>
            <w:r>
              <w:t xml:space="preserve">19,000.00</w:t>
            </w:r>
          </w:p>
        </w:tc>
        <w:tc>
          <w:tcPr/>
          <w:p>
            <w:pPr>
              <w:pStyle w:val="Compact"/>
              <w:jc w:val="left"/>
            </w:pPr>
            <w:r>
              <w:t xml:space="preserve">15 Nov 2025</w:t>
            </w:r>
          </w:p>
        </w:tc>
      </w:tr>
      <w:tr>
        <w:tc>
          <w:tcPr/>
          <w:p>
            <w:pPr>
              <w:pStyle w:val="Compact"/>
              <w:jc w:val="left"/>
            </w:pPr>
            <w:r>
              <w:t xml:space="preserve">05</w:t>
            </w:r>
          </w:p>
        </w:tc>
        <w:tc>
          <w:tcPr/>
          <w:p>
            <w:pPr>
              <w:pStyle w:val="Compact"/>
              <w:jc w:val="left"/>
            </w:pPr>
            <w:r>
              <w:t xml:space="preserve">Provision of 4 guest seminars for the graduate program in Public Policy, each 2 hours, with pre-reading materials distributed to enrolled students.</w:t>
            </w:r>
          </w:p>
        </w:tc>
        <w:tc>
          <w:tcPr/>
          <w:p>
            <w:pPr>
              <w:pStyle w:val="Compact"/>
              <w:jc w:val="left"/>
            </w:pPr>
            <w:r>
              <w:t xml:space="preserve">4</w:t>
            </w:r>
          </w:p>
        </w:tc>
        <w:tc>
          <w:tcPr/>
          <w:p>
            <w:pPr>
              <w:pStyle w:val="Compact"/>
              <w:jc w:val="left"/>
            </w:pPr>
            <w:r>
              <w:t xml:space="preserve">Seminars</w:t>
            </w:r>
          </w:p>
        </w:tc>
        <w:tc>
          <w:tcPr/>
          <w:p>
            <w:pPr>
              <w:pStyle w:val="Compact"/>
              <w:jc w:val="left"/>
            </w:pPr>
            <w:r>
              <w:t xml:space="preserve">7,200.00</w:t>
            </w:r>
          </w:p>
        </w:tc>
        <w:tc>
          <w:tcPr/>
          <w:p>
            <w:pPr>
              <w:pStyle w:val="Compact"/>
              <w:jc w:val="left"/>
            </w:pPr>
            <w:r>
              <w:t xml:space="preserve">28,800.00</w:t>
            </w:r>
          </w:p>
        </w:tc>
        <w:tc>
          <w:tcPr/>
          <w:p>
            <w:pPr>
              <w:pStyle w:val="Compact"/>
              <w:jc w:val="left"/>
            </w:pPr>
            <w:r>
              <w:t xml:space="preserve">10 Dec 2025</w:t>
            </w:r>
          </w:p>
        </w:tc>
      </w:tr>
      <w:tr>
        <w:tc>
          <w:tcPr/>
          <w:p>
            <w:pPr>
              <w:pStyle w:val="Compact"/>
              <w:jc w:val="left"/>
            </w:pPr>
            <w:r>
              <w:t xml:space="preserve">06</w:t>
            </w:r>
          </w:p>
        </w:tc>
        <w:tc>
          <w:tcPr/>
          <w:p>
            <w:pPr>
              <w:pStyle w:val="Compact"/>
              <w:jc w:val="left"/>
            </w:pPr>
            <w:r>
              <w:t xml:space="preserve">Administrative support: attendance at 3 faculty senate meetings and submission of monthly progress reports to the Office of Academic Affairs.</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20 Dec 2025</w:t>
            </w:r>
          </w:p>
        </w:tc>
      </w:tr>
      <w:tr>
        <w:tc>
          <w:tcPr>
            <w:gridSpan w:val="5"/>
          </w:tcPr>
          <w:p>
            <w:pPr>
              <w:pStyle w:val="Compact"/>
              <w:jc w:val="right"/>
            </w:pPr>
            <w:r>
              <w:t xml:space="preserve">Subtotal:</w:t>
            </w:r>
          </w:p>
        </w:tc>
        <w:tc>
          <w:tcPr/>
          <w:p>
            <w:pPr>
              <w:pStyle w:val="Compact"/>
              <w:jc w:val="left"/>
            </w:pPr>
            <w:r>
              <w:t xml:space="preserve">277,100.00</w:t>
            </w:r>
          </w:p>
        </w:tc>
        <w:tc>
          <w:tcPr/>
          <w:p>
            <w:pPr>
              <w:pStyle w:val="Compact"/>
            </w:pPr>
          </w:p>
        </w:tc>
      </w:tr>
      <w:tr>
        <w:tc>
          <w:tcPr>
            <w:gridSpan w:val="5"/>
          </w:tcPr>
          <w:p>
            <w:pPr>
              <w:pStyle w:val="Compact"/>
              <w:jc w:val="right"/>
            </w:pPr>
            <w:r>
              <w:t xml:space="preserve">IVA (16% VAT — Mexico Mexico City):</w:t>
            </w:r>
          </w:p>
        </w:tc>
        <w:tc>
          <w:tcPr/>
          <w:p>
            <w:pPr>
              <w:pStyle w:val="Compact"/>
              <w:jc w:val="left"/>
            </w:pPr>
            <w:r>
              <w:t xml:space="preserve">44,336.00</w:t>
            </w:r>
          </w:p>
        </w:tc>
        <w:tc>
          <w:tcPr/>
          <w:p>
            <w:pPr>
              <w:pStyle w:val="Compact"/>
            </w:pPr>
          </w:p>
        </w:tc>
      </w:tr>
      <w:tr>
        <w:tc>
          <w:tcPr>
            <w:gridSpan w:val="5"/>
          </w:tcPr>
          <w:p>
            <w:pPr>
              <w:pStyle w:val="Compact"/>
              <w:jc w:val="right"/>
            </w:pPr>
            <w:r>
              <w:t xml:space="preserve">TOTAL AMOUNT DUE (MXN):</w:t>
            </w:r>
          </w:p>
        </w:tc>
        <w:tc>
          <w:tcPr/>
          <w:p>
            <w:pPr>
              <w:pStyle w:val="Compact"/>
              <w:jc w:val="left"/>
            </w:pPr>
            <w:r>
              <w:t xml:space="preserve">321,436.00</w:t>
            </w:r>
          </w:p>
        </w:tc>
        <w:tc>
          <w:tcPr/>
          <w:p>
            <w:pPr>
              <w:pStyle w:val="Compact"/>
            </w:pP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and commercial laws of Mexico Mexico City and the Federal District. Any disputes arising from this engagement shall be resolved through the institutional arbitration panel of the Universidad Nacional de la Ciudad de México before resorting to the judicial courts of Mexico Mexico City.</w:t>
      </w:r>
    </w:p>
    <w:p>
      <w:pPr>
        <w:numPr>
          <w:ilvl w:val="0"/>
          <w:numId w:val="1001"/>
        </w:numPr>
        <w:pStyle w:val="Compact"/>
      </w:pPr>
      <w:r>
        <w:rPr>
          <w:bCs/>
          <w:b/>
        </w:rPr>
        <w:t xml:space="preserve">Payment Schedule:</w:t>
      </w:r>
      <w:r>
        <w:t xml:space="preserve"> </w:t>
      </w:r>
      <w:r>
        <w:t xml:space="preserve">Payment shall be made in three equal installments: 33% upon execution of this</w:t>
      </w:r>
      <w:r>
        <w:t xml:space="preserve"> </w:t>
      </w:r>
      <w:r>
        <w:t xml:space="preserve">Purchase Order</w:t>
      </w:r>
      <w:r>
        <w:t xml:space="preserve">, 33% upon completion of the mid-term evaluation (week 6), and the remaining 34% upon final delivery of all services and acceptance by the Department Chair. All payments shall be processed via bank transfer to the account designated by the</w:t>
      </w:r>
      <w:r>
        <w:t xml:space="preserve"> </w:t>
      </w:r>
      <w:r>
        <w:t xml:space="preserve">University Lecturer</w:t>
      </w:r>
      <w:r>
        <w:t xml:space="preserve">.</w:t>
      </w:r>
    </w:p>
    <w:p>
      <w:pPr>
        <w:numPr>
          <w:ilvl w:val="0"/>
          <w:numId w:val="1001"/>
        </w:numPr>
        <w:pStyle w:val="Compact"/>
      </w:pPr>
      <w:r>
        <w:rPr>
          <w:bCs/>
          <w:b/>
        </w:rPr>
        <w:t xml:space="preserve">Tax Compliance:</w:t>
      </w:r>
      <w:r>
        <w:t xml:space="preserve"> </w:t>
      </w:r>
      <w:r>
        <w:t xml:space="preserve">The</w:t>
      </w:r>
      <w:r>
        <w:t xml:space="preserve"> </w:t>
      </w:r>
      <w:r>
        <w:t xml:space="preserve">University Lecturer</w:t>
      </w:r>
      <w:r>
        <w:t xml:space="preserve"> </w:t>
      </w:r>
      <w:r>
        <w:t xml:space="preserve">shall issue a valid CFDI (Comprobante Fiscal Digital por Internet) invoice for each payment, in compliance with the regulations of the Servicio de Administración Tributaria (SAT) applicable in Mexico Mexico City. The institution shall withhold applicable ISR (Impuesto Sobre la Renta) as mandated by Mexican tax law.</w:t>
      </w:r>
    </w:p>
    <w:p>
      <w:pPr>
        <w:numPr>
          <w:ilvl w:val="0"/>
          <w:numId w:val="1001"/>
        </w:numPr>
        <w:pStyle w:val="Compact"/>
      </w:pPr>
      <w:r>
        <w:rPr>
          <w:bCs/>
          <w:b/>
        </w:rPr>
        <w:t xml:space="preserve">Intellectual Property:</w:t>
      </w:r>
      <w:r>
        <w:t xml:space="preserve"> </w:t>
      </w:r>
      <w:r>
        <w:t xml:space="preserve">All course materials, syllabi, problem sets, and digital content created specifically for this engagement under this</w:t>
      </w:r>
      <w:r>
        <w:t xml:space="preserve"> </w:t>
      </w:r>
      <w:r>
        <w:t xml:space="preserve">Purchase Order</w:t>
      </w:r>
      <w:r>
        <w:t xml:space="preserve"> </w:t>
      </w:r>
      <w:r>
        <w:t xml:space="preserve">shall become the property of the Universidad Nacional de la Ciudad de México. The</w:t>
      </w:r>
      <w:r>
        <w:t xml:space="preserve"> </w:t>
      </w:r>
      <w:r>
        <w:t xml:space="preserve">University Lecturer</w:t>
      </w:r>
      <w:r>
        <w:t xml:space="preserve"> </w:t>
      </w:r>
      <w:r>
        <w:t xml:space="preserve">retains the right to use pre-existing materials and to publish original research independently.</w:t>
      </w:r>
    </w:p>
    <w:p>
      <w:pPr>
        <w:numPr>
          <w:ilvl w:val="0"/>
          <w:numId w:val="1001"/>
        </w:numPr>
        <w:pStyle w:val="Compact"/>
      </w:pPr>
      <w:r>
        <w:rPr>
          <w:bCs/>
          <w:b/>
        </w:rPr>
        <w:t xml:space="preserve">Confidentiality:</w:t>
      </w:r>
      <w:r>
        <w:t xml:space="preserve"> </w:t>
      </w:r>
      <w:r>
        <w:t xml:space="preserve">The</w:t>
      </w:r>
      <w:r>
        <w:t xml:space="preserve"> </w:t>
      </w:r>
      <w:r>
        <w:t xml:space="preserve">University Lecturer</w:t>
      </w:r>
      <w:r>
        <w:t xml:space="preserve"> </w:t>
      </w:r>
      <w:r>
        <w:t xml:space="preserve">agrees to maintain strict confidentiality regarding student records, internal institutional data, and unpublished research shared during the engagement period in Mexico Mexico City.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15 calendar days' written notice. In the event of early termination, the</w:t>
      </w:r>
      <w:r>
        <w:t xml:space="preserve"> </w:t>
      </w:r>
      <w:r>
        <w:t xml:space="preserve">University Lecturer</w:t>
      </w:r>
      <w:r>
        <w:t xml:space="preserve"> </w:t>
      </w:r>
      <w:r>
        <w:t xml:space="preserve">shall be compensated for all services rendered up to the date of termination, less any applicable deductions.</w:t>
      </w:r>
    </w:p>
    <w:p>
      <w:pPr>
        <w:numPr>
          <w:ilvl w:val="0"/>
          <w:numId w:val="1001"/>
        </w:numPr>
        <w:pStyle w:val="Compact"/>
      </w:pPr>
      <w:r>
        <w:rPr>
          <w:bCs/>
          <w:b/>
        </w:rPr>
        <w:t xml:space="preserve">Compliance with Institutional Policies:</w:t>
      </w:r>
      <w:r>
        <w:t xml:space="preserve"> </w:t>
      </w:r>
      <w:r>
        <w:t xml:space="preserve">The</w:t>
      </w:r>
      <w:r>
        <w:t xml:space="preserve"> </w:t>
      </w:r>
      <w:r>
        <w:t xml:space="preserve">University Lecturer</w:t>
      </w:r>
      <w:r>
        <w:t xml:space="preserve"> </w:t>
      </w:r>
      <w:r>
        <w:t xml:space="preserve">shall adhere to all codes of conduct, anti-harassment policies, and academic integrity standards established by the Universidad Nacional de la Ciudad de México and applicable regulations in Mexico Mexico City.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Mexico Mexico City.</w:t>
      </w:r>
    </w:p>
    <w:p>
      <w:pPr>
        <w:pStyle w:val="FirstParagraph"/>
      </w:pPr>
      <w:r>
        <w:t xml:space="preserve">6. 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engagement of the</w:t>
      </w:r>
      <w:r>
        <w:t xml:space="preserve"> </w:t>
      </w:r>
      <w:r>
        <w:t xml:space="preserve">University Lecturer</w:t>
      </w:r>
      <w:r>
        <w:t xml:space="preserve"> </w:t>
      </w:r>
      <w:r>
        <w:t xml:space="preserve">as described herein. The terms set forth in this document, together with the attached academic contract and the institution's general terms of service, form the complete agreement between the parties. This</w:t>
      </w:r>
      <w:r>
        <w:t xml:space="preserve"> </w:t>
      </w:r>
      <w:r>
        <w:t xml:space="preserve">Purchase Order</w:t>
      </w:r>
      <w:r>
        <w:t xml:space="preserve"> </w:t>
      </w:r>
      <w:r>
        <w:t xml:space="preserve">is valid for execution and performance exclusively within the jurisdiction of Mexico Mexico City.</w:t>
      </w:r>
    </w:p>
    <w:p>
      <w:pPr>
        <w:pStyle w:val="BodyText"/>
      </w:pPr>
      <w:r>
        <w:rPr>
          <w:bCs/>
          <w:b/>
        </w:rPr>
        <w:t xml:space="preserve">For the Universidad Nacional de la Ciudad de México (Buyer)</w:t>
      </w:r>
      <w:r>
        <w:br/>
      </w:r>
      <w:r>
        <w:t xml:space="preserve">Name: Lic. María Elena Sánchez</w:t>
      </w:r>
      <w:r>
        <w:br/>
      </w:r>
      <w:r>
        <w:t xml:space="preserve">Title: Procurement Director</w:t>
      </w:r>
      <w:r>
        <w:br/>
      </w:r>
      <w:r>
        <w:t xml:space="preserve">Signature: ___________________________</w:t>
      </w:r>
    </w:p>
    <w:p>
      <w:pPr>
        <w:pStyle w:val="BodyText"/>
      </w:pPr>
      <w:r>
        <w:rPr>
          <w:bCs/>
          <w:b/>
        </w:rPr>
        <w:t xml:space="preserve">For the University Lecturer (Vendor)</w:t>
      </w:r>
      <w:r>
        <w:br/>
      </w:r>
      <w:r>
        <w:t xml:space="preserve">Name: Dr. Alejandro Ríos Mendoza</w:t>
      </w:r>
      <w:r>
        <w:br/>
      </w:r>
      <w:r>
        <w:t xml:space="preserve">Title: University Lecturer / Academic Consultant</w:t>
      </w:r>
      <w:r>
        <w:br/>
      </w:r>
      <w:r>
        <w:t xml:space="preserve">Signature: ___________________________</w:t>
      </w:r>
    </w:p>
    <w:p>
      <w:pPr>
        <w:pStyle w:val="BodyText"/>
      </w:pPr>
      <w:r>
        <w:t xml:space="preserve">This</w:t>
      </w:r>
      <w:r>
        <w:t xml:space="preserve"> </w:t>
      </w:r>
      <w:r>
        <w:t xml:space="preserve">Purchase Order</w:t>
      </w:r>
      <w:r>
        <w:t xml:space="preserve"> </w:t>
      </w:r>
      <w:r>
        <w:t xml:space="preserve">(PO-UMC-2025-04782) was issued by the Universidad Nacional de la Ciudad de México, located in Mexico Mexico City, for the professional engagement of a</w:t>
      </w:r>
      <w:r>
        <w:t xml:space="preserve"> </w:t>
      </w:r>
      <w:r>
        <w:t xml:space="preserve">University Lecturer</w:t>
      </w:r>
      <w:r>
        <w:t xml:space="preserve">.</w:t>
      </w:r>
      <w:r>
        <w:br/>
      </w:r>
      <w:r>
        <w:t xml:space="preserve">Document generated on 15 June 2025 | Page 1 of 1 | Confidential — For Institutional Use Only</w:t>
      </w:r>
      <w:r>
        <w:br/>
      </w:r>
      <w:r>
        <w:t xml:space="preserve">© 2025 Universidad Nacional de la Ciudad de México.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Mexico Mexico City</dc:title>
  <dc:creator/>
  <dc:language>en</dc:language>
  <cp:keywords/>
  <dcterms:created xsi:type="dcterms:W3CDTF">2026-10-10T01:59:31Z</dcterms:created>
  <dcterms:modified xsi:type="dcterms:W3CDTF">2026-10-10T01:59:31Z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