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t xml:space="preserve">Procurement of Academic Services – University Lecturer Engagement</w:t>
      </w:r>
    </w:p>
    <w:bookmarkEnd w:id="20"/>
    <w:p>
      <w:pPr>
        <w:pStyle w:val="BodyText"/>
      </w:pPr>
      <w:r>
        <w:rPr>
          <w:bCs/>
          <w:b/>
        </w:rPr>
        <w:t xml:space="preserve">State University of Saint Petersburg, Russian Federation</w:t>
      </w:r>
      <w:r>
        <w:br/>
      </w:r>
      <w:r>
        <w:t xml:space="preserve">7/9 Universitetskaya Embankment, Saint Petersburg, 199034, Russia</w:t>
      </w:r>
      <w:r>
        <w:br/>
      </w:r>
      <w:r>
        <w:t xml:space="preserve">Tax Identification Number (INN): 7805001234 | KPP: 780501001</w:t>
      </w:r>
      <w:r>
        <w:br/>
      </w:r>
      <w:r>
        <w:t xml:space="preserve">Registration Authority: Ministry of Science and Higher Education of the Russian Federation</w:t>
      </w:r>
    </w:p>
    <w:p>
      <w:pPr>
        <w:pStyle w:val="BodyText"/>
      </w:pPr>
      <w:r>
        <w:rPr>
          <w:bCs/>
          <w:b/>
        </w:rPr>
        <w:t xml:space="preserve">PO Number:</w:t>
      </w:r>
      <w:r>
        <w:t xml:space="preserve"> </w:t>
      </w:r>
      <w:r>
        <w:t xml:space="preserve">SPB-UL-2025-04871</w:t>
      </w:r>
    </w:p>
    <w:p>
      <w:pPr>
        <w:pStyle w:val="BodyText"/>
      </w:pPr>
      <w:r>
        <w:rPr>
          <w:bCs/>
          <w:b/>
        </w:rPr>
        <w:t xml:space="preserve">Date of Issue:</w:t>
      </w:r>
      <w:r>
        <w:t xml:space="preserve"> </w:t>
      </w:r>
      <w:r>
        <w:t xml:space="preserve">15 January 2025</w:t>
      </w:r>
    </w:p>
    <w:p>
      <w:pPr>
        <w:pStyle w:val="BodyText"/>
      </w:pPr>
      <w:r>
        <w:rPr>
          <w:bCs/>
          <w:b/>
        </w:rPr>
        <w:t xml:space="preserve">Delivery/Service Location:</w:t>
      </w:r>
      <w:r>
        <w:t xml:space="preserve"> </w:t>
      </w:r>
      <w:r>
        <w:t xml:space="preserve">Saint Petersburg, Russia</w:t>
      </w:r>
    </w:p>
    <w:p>
      <w:pPr>
        <w:pStyle w:val="BodyText"/>
      </w:pPr>
      <w:r>
        <w:rPr>
          <w:bCs/>
          <w:b/>
        </w:rPr>
        <w:t xml:space="preserve">Valid Until:</w:t>
      </w:r>
      <w:r>
        <w:t xml:space="preserve"> </w:t>
      </w:r>
      <w:r>
        <w:t xml:space="preserve">30 June 2025</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State University of Saint Petersburg, Russian Federation</w:t>
            </w:r>
          </w:p>
        </w:tc>
      </w:tr>
      <w:tr>
        <w:tc>
          <w:tcPr/>
          <w:p>
            <w:pPr>
              <w:pStyle w:val="Compact"/>
              <w:jc w:val="left"/>
            </w:pPr>
            <w:r>
              <w:t xml:space="preserve">Department</w:t>
            </w:r>
          </w:p>
        </w:tc>
        <w:tc>
          <w:tcPr/>
          <w:p>
            <w:pPr>
              <w:pStyle w:val="Compact"/>
              <w:jc w:val="left"/>
            </w:pPr>
            <w:r>
              <w:t xml:space="preserve">Faculty of Applied Sciences and Engineering, Academic Affairs Division</w:t>
            </w:r>
          </w:p>
        </w:tc>
      </w:tr>
      <w:tr>
        <w:tc>
          <w:tcPr/>
          <w:p>
            <w:pPr>
              <w:pStyle w:val="Compact"/>
              <w:jc w:val="left"/>
            </w:pPr>
            <w:r>
              <w:t xml:space="preserve">Address</w:t>
            </w:r>
          </w:p>
        </w:tc>
        <w:tc>
          <w:tcPr/>
          <w:p>
            <w:pPr>
              <w:pStyle w:val="Compact"/>
              <w:jc w:val="left"/>
            </w:pPr>
            <w:r>
              <w:t xml:space="preserve">7/9 Universitetskaya Embankment, Saint Petersburg, 199034, Russia</w:t>
            </w:r>
          </w:p>
        </w:tc>
      </w:tr>
      <w:tr>
        <w:tc>
          <w:tcPr/>
          <w:p>
            <w:pPr>
              <w:pStyle w:val="Compact"/>
              <w:jc w:val="left"/>
            </w:pPr>
            <w:r>
              <w:t xml:space="preserve">Authorized Representative</w:t>
            </w:r>
          </w:p>
        </w:tc>
        <w:tc>
          <w:tcPr/>
          <w:p>
            <w:pPr>
              <w:pStyle w:val="Compact"/>
              <w:jc w:val="left"/>
            </w:pPr>
            <w:r>
              <w:t xml:space="preserve">Prof. Dr. Elena V. Sokolova, Dean of the Faculty of Applied Sciences</w:t>
            </w:r>
          </w:p>
        </w:tc>
      </w:tr>
      <w:tr>
        <w:tc>
          <w:tcPr/>
          <w:p>
            <w:pPr>
              <w:pStyle w:val="Compact"/>
              <w:jc w:val="left"/>
            </w:pPr>
            <w:r>
              <w:t xml:space="preserve">Contact</w:t>
            </w:r>
          </w:p>
        </w:tc>
        <w:tc>
          <w:tcPr/>
          <w:p>
            <w:pPr>
              <w:pStyle w:val="Compact"/>
              <w:jc w:val="left"/>
            </w:pPr>
            <w:r>
              <w:t xml:space="preserve">procurement@spbu-acad.ru | +7 (812) 575-73-00</w:t>
            </w:r>
          </w:p>
        </w:tc>
      </w:tr>
    </w:tbl>
    <w:p>
      <w:pPr>
        <w:pStyle w:val="BodyText"/>
      </w:pPr>
      <w:r>
        <w:t xml:space="preserve">2. Service Provider (Supplier / University Lecturer)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Alexander M. Petrov, PhD in Computational Mathematics</w:t>
            </w:r>
          </w:p>
        </w:tc>
      </w:tr>
      <w:tr>
        <w:tc>
          <w:tcPr/>
          <w:p>
            <w:pPr>
              <w:pStyle w:val="Compact"/>
              <w:jc w:val="left"/>
            </w:pPr>
            <w:r>
              <w:t xml:space="preserve">Professional Title</w:t>
            </w:r>
          </w:p>
        </w:tc>
        <w:tc>
          <w:tcPr/>
          <w:p>
            <w:pPr>
              <w:pStyle w:val="Compact"/>
              <w:jc w:val="left"/>
            </w:pPr>
            <w:r>
              <w:t xml:space="preserve">University Lecturer</w:t>
            </w:r>
            <w:r>
              <w:t xml:space="preserve">, Senior Academic Staff</w:t>
            </w:r>
          </w:p>
        </w:tc>
      </w:tr>
      <w:tr>
        <w:tc>
          <w:tcPr/>
          <w:p>
            <w:pPr>
              <w:pStyle w:val="Compact"/>
              <w:jc w:val="left"/>
            </w:pPr>
            <w:r>
              <w:t xml:space="preserve">Address</w:t>
            </w:r>
          </w:p>
        </w:tc>
        <w:tc>
          <w:tcPr/>
          <w:p>
            <w:pPr>
              <w:pStyle w:val="Compact"/>
              <w:jc w:val="left"/>
            </w:pPr>
            <w:r>
              <w:t xml:space="preserve">42 Vasilyevsky Island, Saint Petersburg, 199178, Russia</w:t>
            </w:r>
          </w:p>
        </w:tc>
      </w:tr>
      <w:tr>
        <w:tc>
          <w:tcPr/>
          <w:p>
            <w:pPr>
              <w:pStyle w:val="Compact"/>
              <w:jc w:val="left"/>
            </w:pPr>
            <w:r>
              <w:t xml:space="preserve">Passport / ID</w:t>
            </w:r>
          </w:p>
        </w:tc>
        <w:tc>
          <w:tcPr/>
          <w:p>
            <w:pPr>
              <w:pStyle w:val="Compact"/>
              <w:jc w:val="left"/>
            </w:pPr>
            <w:r>
              <w:t xml:space="preserve">45 1234567 (Russian Federation)</w:t>
            </w:r>
          </w:p>
        </w:tc>
      </w:tr>
      <w:tr>
        <w:tc>
          <w:tcPr/>
          <w:p>
            <w:pPr>
              <w:pStyle w:val="Compact"/>
              <w:jc w:val="left"/>
            </w:pPr>
            <w:r>
              <w:t xml:space="preserve">Bank Details</w:t>
            </w:r>
          </w:p>
        </w:tc>
        <w:tc>
          <w:tcPr/>
          <w:p>
            <w:pPr>
              <w:pStyle w:val="Compact"/>
              <w:jc w:val="left"/>
            </w:pPr>
            <w:r>
              <w:t xml:space="preserve">Sberbank, Branch Saint Petersburg | Account: 40817 810 0000 0012 3456 | BIC: SABRRU32</w:t>
            </w:r>
          </w:p>
        </w:tc>
      </w:tr>
      <w:tr>
        <w:tc>
          <w:tcPr/>
          <w:p>
            <w:pPr>
              <w:pStyle w:val="Compact"/>
              <w:jc w:val="left"/>
            </w:pPr>
            <w:r>
              <w:t xml:space="preserve">Academic Qualifications</w:t>
            </w:r>
          </w:p>
        </w:tc>
        <w:tc>
          <w:tcPr/>
          <w:p>
            <w:pPr>
              <w:pStyle w:val="Compact"/>
              <w:jc w:val="left"/>
            </w:pPr>
            <w:r>
              <w:t xml:space="preserve">PhD, Saint Petersburg State University (2012); Postdoctoral Research, ETH Zurich (2014–2016)</w:t>
            </w:r>
          </w:p>
        </w:tc>
      </w:tr>
    </w:tbl>
    <w:p>
      <w:pPr>
        <w:pStyle w:val="BodyText"/>
      </w:pPr>
      <w:r>
        <w:t xml:space="preserve">3. Description of Procured Services</w:t>
      </w:r>
    </w:p>
    <w:p>
      <w:pPr>
        <w:pStyle w:val="BodyText"/>
      </w:pPr>
      <w:r>
        <w:t xml:space="preserve">This</w:t>
      </w:r>
      <w:r>
        <w:t xml:space="preserve"> </w:t>
      </w:r>
      <w:r>
        <w:t xml:space="preserve">Purchase Order</w:t>
      </w:r>
      <w:r>
        <w:t xml:space="preserve"> </w:t>
      </w:r>
      <w:r>
        <w:t xml:space="preserve">is issued by the State University of Saint Petersburg to formally engage the services of</w:t>
      </w:r>
      <w:r>
        <w:t xml:space="preserve"> </w:t>
      </w:r>
      <w:r>
        <w:t xml:space="preserve">Dr. Alexander M. Petrov</w:t>
      </w:r>
      <w:r>
        <w:t xml:space="preserve"> </w:t>
      </w:r>
      <w:r>
        <w:t xml:space="preserve">as a</w:t>
      </w:r>
      <w:r>
        <w:t xml:space="preserve"> </w:t>
      </w:r>
      <w:r>
        <w:t xml:space="preserve">University Lecturer</w:t>
      </w:r>
      <w:r>
        <w:t xml:space="preserve"> </w:t>
      </w:r>
      <w:r>
        <w:t xml:space="preserve">for the academic year 2025/2026. The engagement is conducted in full compliance with the Federal Law of the Russian Federation No. 273-FZ "On Education in the Russian Federation" and the internal procurement regulations of the University. The</w:t>
      </w:r>
      <w:r>
        <w:t xml:space="preserve"> </w:t>
      </w:r>
      <w:r>
        <w:t xml:space="preserve">University Lecturer</w:t>
      </w:r>
      <w:r>
        <w:t xml:space="preserve"> </w:t>
      </w:r>
      <w:r>
        <w:t xml:space="preserve">shall deliver the following academic services at the University's primary campus located in</w:t>
      </w:r>
      <w:r>
        <w:t xml:space="preserve"> </w:t>
      </w:r>
      <w:r>
        <w:t xml:space="preserve">Saint Petersburg, Russia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Lectures in "Advanced Computational Mathematics" (Course Code: ACM-401), 4 contact hours per week, delivered in the main lecture hall, Building A, Saint Petersburg campus</w:t>
            </w:r>
          </w:p>
        </w:tc>
        <w:tc>
          <w:tcPr/>
          <w:p>
            <w:pPr>
              <w:pStyle w:val="Compact"/>
              <w:jc w:val="left"/>
            </w:pPr>
            <w:r>
              <w:t xml:space="preserve">34 weeks</w:t>
            </w:r>
          </w:p>
        </w:tc>
        <w:tc>
          <w:tcPr/>
          <w:p>
            <w:pPr>
              <w:pStyle w:val="Compact"/>
              <w:jc w:val="left"/>
            </w:pPr>
            <w:r>
              <w:t xml:space="preserve">Academic Year</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Supervision of 12 undergraduate thesis projects in the Department of Applied Mathematics, including bi-weekly progress reviews and final oral examinations</w:t>
            </w:r>
          </w:p>
        </w:tc>
        <w:tc>
          <w:tcPr/>
          <w:p>
            <w:pPr>
              <w:pStyle w:val="Compact"/>
              <w:jc w:val="left"/>
            </w:pPr>
            <w:r>
              <w:t xml:space="preserve">34 weeks</w:t>
            </w:r>
          </w:p>
        </w:tc>
        <w:tc>
          <w:tcPr/>
          <w:p>
            <w:pPr>
              <w:pStyle w:val="Compact"/>
              <w:jc w:val="left"/>
            </w:pPr>
            <w:r>
              <w:t xml:space="preserve">Academic Year</w:t>
            </w:r>
          </w:p>
        </w:tc>
        <w:tc>
          <w:tcPr/>
          <w:p>
            <w:pPr>
              <w:pStyle w:val="Compact"/>
              <w:jc w:val="left"/>
            </w:pPr>
            <w:r>
              <w:t xml:space="preserve">96,000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Development and delivery of a 16-hour intensive workshop on "Numerical Methods for Engineering Applications" for postgraduate students, held at the Saint Petersburg Research Annex</w:t>
            </w:r>
          </w:p>
        </w:tc>
        <w:tc>
          <w:tcPr/>
          <w:p>
            <w:pPr>
              <w:pStyle w:val="Compact"/>
              <w:jc w:val="left"/>
            </w:pPr>
            <w:r>
              <w:t xml:space="preserve">2 days</w:t>
            </w:r>
          </w:p>
        </w:tc>
        <w:tc>
          <w:tcPr/>
          <w:p>
            <w:pPr>
              <w:pStyle w:val="Compact"/>
              <w:jc w:val="left"/>
            </w:pPr>
            <w:r>
              <w:t xml:space="preserve">Workshop</w:t>
            </w:r>
          </w:p>
        </w:tc>
        <w:tc>
          <w:tcPr/>
          <w:p>
            <w:pPr>
              <w:pStyle w:val="Compact"/>
              <w:jc w:val="left"/>
            </w:pPr>
            <w:r>
              <w:t xml:space="preserve">48,000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Curriculum review and pedagogical consultation for the Faculty of Applied Sciences, including participation in 6 departmental meetings per semester</w:t>
            </w:r>
          </w:p>
        </w:tc>
        <w:tc>
          <w:tcPr/>
          <w:p>
            <w:pPr>
              <w:pStyle w:val="Compact"/>
              <w:jc w:val="left"/>
            </w:pPr>
            <w:r>
              <w:t xml:space="preserve">2 semesters</w:t>
            </w:r>
          </w:p>
        </w:tc>
        <w:tc>
          <w:tcPr/>
          <w:p>
            <w:pPr>
              <w:pStyle w:val="Compact"/>
              <w:jc w:val="left"/>
            </w:pPr>
            <w:r>
              <w:t xml:space="preserve">Consultancy</w:t>
            </w:r>
          </w:p>
        </w:tc>
        <w:tc>
          <w:tcPr/>
          <w:p>
            <w:pPr>
              <w:pStyle w:val="Compact"/>
              <w:jc w:val="left"/>
            </w:pPr>
            <w:r>
              <w:t xml:space="preserve">32,000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Provision of academic materials, updated lecture notes, and digital resources hosted on the University's intranet platform (LMS Saint Petersburg)</w:t>
            </w:r>
          </w:p>
        </w:tc>
        <w:tc>
          <w:tcPr/>
          <w:p>
            <w:pPr>
              <w:pStyle w:val="Compact"/>
              <w:jc w:val="left"/>
            </w:pPr>
            <w:r>
              <w:t xml:space="preserve">34 weeks</w:t>
            </w:r>
          </w:p>
        </w:tc>
        <w:tc>
          <w:tcPr/>
          <w:p>
            <w:pPr>
              <w:pStyle w:val="Compact"/>
              <w:jc w:val="left"/>
            </w:pPr>
            <w:r>
              <w:t xml:space="preserve">Deliverable</w:t>
            </w:r>
          </w:p>
        </w:tc>
        <w:tc>
          <w:tcPr/>
          <w:p>
            <w:pPr>
              <w:pStyle w:val="Compact"/>
              <w:jc w:val="left"/>
            </w:pPr>
            <w:r>
              <w:t xml:space="preserve">15,000</w:t>
            </w:r>
          </w:p>
        </w:tc>
        <w:tc>
          <w:tcPr/>
          <w:p>
            <w:pPr>
              <w:pStyle w:val="Compact"/>
              <w:jc w:val="left"/>
            </w:pPr>
            <w:r>
              <w:t xml:space="preserve">15,000.00</w:t>
            </w:r>
          </w:p>
        </w:tc>
      </w:tr>
      <w:tr>
        <w:tc>
          <w:tcPr>
            <w:gridSpan w:val="5"/>
          </w:tcPr>
          <w:p>
            <w:pPr>
              <w:pStyle w:val="Compact"/>
              <w:jc w:val="left"/>
            </w:pPr>
            <w:r>
              <w:rPr>
                <w:bCs/>
                <w:b/>
              </w:rPr>
              <w:t xml:space="preserve">TOTAL CONTRACT VALUE (excl. VAT)</w:t>
            </w:r>
          </w:p>
        </w:tc>
        <w:tc>
          <w:tcPr/>
          <w:p>
            <w:pPr>
              <w:pStyle w:val="Compact"/>
              <w:jc w:val="left"/>
            </w:pPr>
            <w:r>
              <w:rPr>
                <w:bCs/>
                <w:b/>
              </w:rPr>
              <w:t xml:space="preserve">376,000.00</w:t>
            </w:r>
          </w:p>
        </w:tc>
      </w:tr>
      <w:tr>
        <w:tc>
          <w:tcPr>
            <w:gridSpan w:val="5"/>
          </w:tcPr>
          <w:p>
            <w:pPr>
              <w:pStyle w:val="Compact"/>
              <w:jc w:val="left"/>
            </w:pPr>
            <w:r>
              <w:t xml:space="preserve">VAT (20% per Russian Tax Code)</w:t>
            </w:r>
          </w:p>
        </w:tc>
        <w:tc>
          <w:tcPr/>
          <w:p>
            <w:pPr>
              <w:pStyle w:val="Compact"/>
              <w:jc w:val="left"/>
            </w:pPr>
            <w:r>
              <w:t xml:space="preserve">75,200.00</w:t>
            </w:r>
          </w:p>
        </w:tc>
      </w:tr>
      <w:tr>
        <w:tc>
          <w:tcPr>
            <w:gridSpan w:val="5"/>
          </w:tcPr>
          <w:p>
            <w:pPr>
              <w:pStyle w:val="Compact"/>
              <w:jc w:val="left"/>
            </w:pPr>
            <w:r>
              <w:rPr>
                <w:bCs/>
                <w:b/>
              </w:rPr>
              <w:t xml:space="preserve">TOTAL CONTRACT VALUE (incl. VAT)</w:t>
            </w:r>
          </w:p>
        </w:tc>
        <w:tc>
          <w:tcPr/>
          <w:p>
            <w:pPr>
              <w:pStyle w:val="Compact"/>
              <w:jc w:val="left"/>
            </w:pPr>
            <w:r>
              <w:rPr>
                <w:bCs/>
                <w:b/>
              </w:rPr>
              <w:t xml:space="preserve">451,200.00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Civil Code of the Russian Federation and applicable federal legislation of the Russian Federation. Any disputes arising from this Purchase Order shall be resolved through the Arbitration Court of Saint Petersburg and Leningrad Region.</w:t>
      </w:r>
    </w:p>
    <w:p>
      <w:pPr>
        <w:numPr>
          <w:ilvl w:val="0"/>
          <w:numId w:val="1001"/>
        </w:numPr>
        <w:pStyle w:val="Compact"/>
      </w:pPr>
      <w:r>
        <w:rPr>
          <w:bCs/>
          <w:b/>
        </w:rPr>
        <w:t xml:space="preserve">Service Location:</w:t>
      </w:r>
      <w:r>
        <w:t xml:space="preserve"> </w:t>
      </w:r>
      <w:r>
        <w:t xml:space="preserve">All academic services under this Purchase Order shall be performed at the premises of the State University of Saint Petersburg, located in Saint Petersburg, Russian Federation, unless otherwise agreed in writing by both parties. The University Lecturer acknowledges that the primary site of engagement is the Saint Petersburg campus and its affiliated research annexes within the city limits.</w:t>
      </w:r>
    </w:p>
    <w:p>
      <w:pPr>
        <w:numPr>
          <w:ilvl w:val="0"/>
          <w:numId w:val="1001"/>
        </w:numPr>
        <w:pStyle w:val="Compact"/>
      </w:pPr>
      <w:r>
        <w:rPr>
          <w:bCs/>
          <w:b/>
        </w:rPr>
        <w:t xml:space="preserve">Payment Terms:</w:t>
      </w:r>
      <w:r>
        <w:t xml:space="preserve"> </w:t>
      </w:r>
      <w:r>
        <w:t xml:space="preserve">Payment shall be made in Russian Rubles (RUB) via bank transfer to the account specified in Section 2. Invoices shall be submitted monthly by the 5th business day. Payment shall be processed within 15 business days of invoice receipt, in accordance with the University's financial regulations and the Federal Law on Budget Regulation of the Russian Federation.</w:t>
      </w:r>
    </w:p>
    <w:p>
      <w:pPr>
        <w:numPr>
          <w:ilvl w:val="0"/>
          <w:numId w:val="1001"/>
        </w:numPr>
        <w:pStyle w:val="Compact"/>
      </w:pPr>
      <w:r>
        <w:rPr>
          <w:bCs/>
          <w:b/>
        </w:rPr>
        <w:t xml:space="preserve">Performance Obligations:</w:t>
      </w:r>
      <w:r>
        <w:t xml:space="preserve"> </w:t>
      </w:r>
      <w:r>
        <w:t xml:space="preserve">The University Lecturer shall maintain a minimum attendance rate of 95% for all scheduled lectures and seminars. Failure to meet this threshold without documented medical or official justification shall result in a proportional reduction of the contracted fee. The University Lecturer is expected to adhere to the academic calendar published by the Ministry of Science and Higher Education of the Russian Federation for the 2025/2026 academic year.</w:t>
      </w:r>
    </w:p>
    <w:p>
      <w:pPr>
        <w:numPr>
          <w:ilvl w:val="0"/>
          <w:numId w:val="1001"/>
        </w:numPr>
        <w:pStyle w:val="Compact"/>
      </w:pPr>
      <w:r>
        <w:rPr>
          <w:bCs/>
          <w:b/>
        </w:rPr>
        <w:t xml:space="preserve">Intellectual Property:</w:t>
      </w:r>
      <w:r>
        <w:t xml:space="preserve"> </w:t>
      </w:r>
      <w:r>
        <w:t xml:space="preserve">All lecture materials, course content, and academic resources developed specifically for this Purchase Order engagement shall remain the property of the State University of Saint Petersburg. The University Lecturer retains the right to use general pedagogical methodologies and pre-existing personal research in their teaching.</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examination content, and internal University proceedings in Saint Petersburg.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The University may terminate immediately in the event of material breach, academic misconduct, or violation of Russian federal education standards. Upon termination, all outstanding fees for services rendered up to the termination date shall be settled within 30 days.</w:t>
      </w:r>
    </w:p>
    <w:p>
      <w:pPr>
        <w:numPr>
          <w:ilvl w:val="0"/>
          <w:numId w:val="1001"/>
        </w:numPr>
        <w:pStyle w:val="Compact"/>
      </w:pPr>
      <w:r>
        <w:rPr>
          <w:bCs/>
          <w:b/>
        </w:rPr>
        <w:t xml:space="preserve">Compliance:</w:t>
      </w:r>
      <w:r>
        <w:t xml:space="preserve"> </w:t>
      </w:r>
      <w:r>
        <w:t xml:space="preserve">The University Lecturer warrants that they hold all necessary qualifications and permits to perform academic instruction in the Russian Federation. The University Lecturer confirms compliance with all anti-corruption provisions of the Russian Federation and declares no conflict of interest in relation to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force majeure events as defined under Article 401 of the Civil Code of the Russian Federation, including but not limited to natural disasters, government-mandated closures of educational institutions in Saint Petersburg, or public health emergencies declared by the Russian Federation.</w:t>
      </w:r>
    </w:p>
    <w:p>
      <w:pPr>
        <w:numPr>
          <w:ilvl w:val="0"/>
          <w:numId w:val="1001"/>
        </w:numPr>
        <w:pStyle w:val="Compact"/>
      </w:pPr>
      <w:r>
        <w:rPr>
          <w:bCs/>
          <w:b/>
        </w:rPr>
        <w:t xml:space="preserve">Amendments:</w:t>
      </w:r>
      <w:r>
        <w:t xml:space="preserve"> </w:t>
      </w:r>
      <w:r>
        <w:t xml:space="preserve">Any modification to this Purchase Order must be made in writing and signed by both the authorized representative of the University and the University Lecturer. Verbal agreements or informal communications shall not constitute a valid amendment to this document.</w:t>
      </w:r>
    </w:p>
    <w:p>
      <w:pPr>
        <w:pStyle w:val="FirstParagraph"/>
      </w:pPr>
      <w:r>
        <w:t xml:space="preserve">5. Acceptance and Authorization</w:t>
      </w:r>
    </w:p>
    <w:p>
      <w:pPr>
        <w:pStyle w:val="BodyText"/>
      </w:pPr>
      <w:r>
        <w:t xml:space="preserve">By signing below, both parties acknowledge that this Purchase Order constitutes a binding agreement for the procurement of University Lecturer services at the State University of Saint Petersburg, Russia. This document is issued in two (2) original copies, one for each party, both having equal legal force under Russian law.</w:t>
      </w:r>
    </w:p>
    <w:p>
      <w:pPr>
        <w:pStyle w:val="BodyText"/>
      </w:pPr>
      <w:r>
        <w:rPr>
          <w:bCs/>
          <w:b/>
        </w:rPr>
        <w:t xml:space="preserve">For the Purchasing Entity (Buyer)</w:t>
      </w:r>
      <w:r>
        <w:br/>
      </w:r>
      <w:r>
        <w:t xml:space="preserve">Prof. Dr. Elena V. Sokolova</w:t>
      </w:r>
      <w:r>
        <w:br/>
      </w:r>
      <w:r>
        <w:t xml:space="preserve">Dean, Faculty of Applied Sciences</w:t>
      </w:r>
      <w:r>
        <w:br/>
      </w:r>
      <w:r>
        <w:t xml:space="preserve">State University of Saint Petersburg, Russia</w:t>
      </w:r>
      <w:r>
        <w:br/>
      </w:r>
      <w:r>
        <w:t xml:space="preserve">Date: _______________</w:t>
      </w:r>
    </w:p>
    <w:p>
      <w:pPr>
        <w:pStyle w:val="BodyText"/>
      </w:pPr>
      <w:r>
        <w:rPr>
          <w:bCs/>
          <w:b/>
        </w:rPr>
        <w:t xml:space="preserve">For the Service Provider (University Lecturer)</w:t>
      </w:r>
      <w:r>
        <w:br/>
      </w:r>
      <w:r>
        <w:t xml:space="preserve">Dr. Alexander M. Petrov</w:t>
      </w:r>
      <w:r>
        <w:br/>
      </w:r>
      <w:r>
        <w:t xml:space="preserve">University Lecturer, Senior Academic Staff</w:t>
      </w:r>
      <w:r>
        <w:br/>
      </w:r>
      <w:r>
        <w:t xml:space="preserve">Saint Petersburg, Russia</w:t>
      </w:r>
      <w:r>
        <w:br/>
      </w:r>
      <w:r>
        <w:t xml:space="preserve">Date: _______________</w:t>
      </w:r>
    </w:p>
    <w:p>
      <w:pPr>
        <w:pStyle w:val="BodyText"/>
      </w:pPr>
      <w:r>
        <w:t xml:space="preserve">Purchase Order No. SPB-UL-2025-04871 | State University of Saint Petersburg, Russian Federation</w:t>
      </w:r>
      <w:r>
        <w:br/>
      </w:r>
      <w:r>
        <w:t xml:space="preserve">This document is generated in accordance with the internal procurement policy of the University and Federal Law No. 273-FZ. All references to Saint Petersburg, Russia denote the primary jurisdiction and service location for this engagement.</w:t>
      </w:r>
      <w:r>
        <w:br/>
      </w:r>
      <w:r>
        <w:t xml:space="preserve">Document Classification: Internal – Procurement | Version 1.0 | Issued: 15 January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Saint Petersburg, Russia</dc:title>
  <dc:creator/>
  <dc:language>en</dc:language>
  <cp:keywords/>
  <dcterms:created xsi:type="dcterms:W3CDTF">2026-10-10T03:20:08Z</dcterms:created>
  <dcterms:modified xsi:type="dcterms:W3CDTF">2026-10-10T03:20:08Z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