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University</w:t>
      </w:r>
      <w:r>
        <w:t xml:space="preserve"> </w:t>
      </w:r>
      <w:r>
        <w:t xml:space="preserve">Lecturer</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purchase-order"/>
    <w:p>
      <w:pPr>
        <w:pStyle w:val="Heading1"/>
      </w:pPr>
      <w:r>
        <w:t xml:space="preserve">PURCHASE ORDER</w:t>
      </w:r>
    </w:p>
    <w:p>
      <w:pPr>
        <w:pStyle w:val="FirstParagraph"/>
      </w:pPr>
      <w:r>
        <w:t xml:space="preserve">Academic Staff Procurement — University Lecturer Engagement</w:t>
      </w:r>
    </w:p>
    <w:p>
      <w:pPr>
        <w:pStyle w:val="BodyText"/>
      </w:pPr>
      <w:r>
        <w:t xml:space="preserve">United Arab Emirates Dubai — Academic Services Division</w:t>
      </w:r>
    </w:p>
    <w:bookmarkEnd w:id="20"/>
    <w:p>
      <w:pPr>
        <w:pStyle w:val="BodyText"/>
      </w:pPr>
      <w:r>
        <w:t xml:space="preserve">PO No.: UAE-DXB-UL-2025-04872</w:t>
      </w:r>
      <w:r>
        <w:br/>
      </w:r>
      <w:r>
        <w:t xml:space="preserve">Date of Issue: 15 June 2025</w:t>
      </w:r>
      <w:r>
        <w:br/>
      </w:r>
      <w:r>
        <w:t xml:space="preserve">Valid Until: 15 September 2025</w:t>
      </w:r>
    </w:p>
    <w:bookmarkStart w:id="21" w:name="purchasing-entity-buyer"/>
    <w:p>
      <w:pPr>
        <w:pStyle w:val="Heading2"/>
      </w:pPr>
      <w:r>
        <w:t xml:space="preserve">1. Purchasing Entity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Institution Name</w:t>
            </w:r>
          </w:p>
        </w:tc>
        <w:tc>
          <w:tcPr/>
          <w:p>
            <w:pPr>
              <w:pStyle w:val="Compact"/>
              <w:jc w:val="left"/>
            </w:pPr>
            <w:r>
              <w:t xml:space="preserve">Dubai International University of Applied Sciences</w:t>
            </w:r>
          </w:p>
        </w:tc>
      </w:tr>
      <w:tr>
        <w:tc>
          <w:tcPr/>
          <w:p>
            <w:pPr>
              <w:pStyle w:val="Compact"/>
              <w:jc w:val="left"/>
            </w:pPr>
            <w:r>
              <w:t xml:space="preserve">Address</w:t>
            </w:r>
          </w:p>
        </w:tc>
        <w:tc>
          <w:tcPr/>
          <w:p>
            <w:pPr>
              <w:pStyle w:val="Compact"/>
              <w:jc w:val="left"/>
            </w:pPr>
            <w:r>
              <w:t xml:space="preserve">Building 12, Academic District, Knowledge Village, United Arab Emirates Dubai, P.O. Box 34567</w:t>
            </w:r>
          </w:p>
        </w:tc>
      </w:tr>
      <w:tr>
        <w:tc>
          <w:tcPr/>
          <w:p>
            <w:pPr>
              <w:pStyle w:val="Compact"/>
              <w:jc w:val="left"/>
            </w:pPr>
            <w:r>
              <w:t xml:space="preserve">Authorized Officer</w:t>
            </w:r>
          </w:p>
        </w:tc>
        <w:tc>
          <w:tcPr/>
          <w:p>
            <w:pPr>
              <w:pStyle w:val="Compact"/>
              <w:jc w:val="left"/>
            </w:pPr>
            <w:r>
              <w:t xml:space="preserve">Dr. Fatima Al Mansouri, Dean of Academic Affairs</w:t>
            </w:r>
          </w:p>
        </w:tc>
      </w:tr>
      <w:tr>
        <w:tc>
          <w:tcPr/>
          <w:p>
            <w:pPr>
              <w:pStyle w:val="Compact"/>
              <w:jc w:val="left"/>
            </w:pPr>
            <w:r>
              <w:t xml:space="preserve">Contact Email</w:t>
            </w:r>
          </w:p>
        </w:tc>
        <w:tc>
          <w:tcPr/>
          <w:p>
            <w:pPr>
              <w:pStyle w:val="Compact"/>
              <w:jc w:val="left"/>
            </w:pPr>
            <w:r>
              <w:t xml:space="preserve">procurement@dubai-intl-univ.ae</w:t>
            </w:r>
          </w:p>
        </w:tc>
      </w:tr>
      <w:tr>
        <w:tc>
          <w:tcPr/>
          <w:p>
            <w:pPr>
              <w:pStyle w:val="Compact"/>
              <w:jc w:val="left"/>
            </w:pPr>
            <w:r>
              <w:t xml:space="preserve">TRN (Tax Registration Number)</w:t>
            </w:r>
          </w:p>
        </w:tc>
        <w:tc>
          <w:tcPr/>
          <w:p>
            <w:pPr>
              <w:pStyle w:val="Compact"/>
              <w:jc w:val="left"/>
            </w:pPr>
            <w:r>
              <w:t xml:space="preserve">100212345600003</w:t>
            </w:r>
          </w:p>
        </w:tc>
      </w:tr>
    </w:tbl>
    <w:bookmarkEnd w:id="21"/>
    <w:bookmarkStart w:id="22" w:name="supplier-service-provider-seller"/>
    <w:p>
      <w:pPr>
        <w:pStyle w:val="Heading2"/>
      </w:pPr>
      <w:r>
        <w:t xml:space="preserve">2. Supplier / Service Provider (Seller)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Supplier Name</w:t>
            </w:r>
          </w:p>
        </w:tc>
        <w:tc>
          <w:tcPr/>
          <w:p>
            <w:pPr>
              <w:pStyle w:val="Compact"/>
              <w:jc w:val="left"/>
            </w:pPr>
            <w:r>
              <w:t xml:space="preserve">Dr. James R. Whitfield, Independent Academic Consultant</w:t>
            </w:r>
          </w:p>
        </w:tc>
      </w:tr>
      <w:tr>
        <w:tc>
          <w:tcPr/>
          <w:p>
            <w:pPr>
              <w:pStyle w:val="Compact"/>
              <w:jc w:val="left"/>
            </w:pPr>
            <w:r>
              <w:t xml:space="preserve">Address</w:t>
            </w:r>
          </w:p>
        </w:tc>
        <w:tc>
          <w:tcPr/>
          <w:p>
            <w:pPr>
              <w:pStyle w:val="Compact"/>
              <w:jc w:val="left"/>
            </w:pPr>
            <w:r>
              <w:t xml:space="preserve">Apartment 24B, Marina Heights Tower, Dubai Marina, United Arab Emirates Dubai, P.O. Box 89012</w:t>
            </w:r>
          </w:p>
        </w:tc>
      </w:tr>
      <w:tr>
        <w:tc>
          <w:tcPr/>
          <w:p>
            <w:pPr>
              <w:pStyle w:val="Compact"/>
              <w:jc w:val="left"/>
            </w:pPr>
            <w:r>
              <w:t xml:space="preserve">Passport / Emirates ID</w:t>
            </w:r>
          </w:p>
        </w:tc>
        <w:tc>
          <w:tcPr/>
          <w:p>
            <w:pPr>
              <w:pStyle w:val="Compact"/>
              <w:jc w:val="left"/>
            </w:pPr>
            <w:r>
              <w:t xml:space="preserve">Emirates ID: 784-1985-0045217-3</w:t>
            </w:r>
          </w:p>
        </w:tc>
      </w:tr>
      <w:tr>
        <w:tc>
          <w:tcPr/>
          <w:p>
            <w:pPr>
              <w:pStyle w:val="Compact"/>
              <w:jc w:val="left"/>
            </w:pPr>
            <w:r>
              <w:t xml:space="preserve">Bank Details</w:t>
            </w:r>
          </w:p>
        </w:tc>
        <w:tc>
          <w:tcPr/>
          <w:p>
            <w:pPr>
              <w:pStyle w:val="Compact"/>
              <w:jc w:val="left"/>
            </w:pPr>
            <w:r>
              <w:t xml:space="preserve">Emirates NBD Bank, Account: 002-456789012, IBAN: AE07024000000000456789012</w:t>
            </w:r>
          </w:p>
        </w:tc>
      </w:tr>
      <w:tr>
        <w:tc>
          <w:tcPr/>
          <w:p>
            <w:pPr>
              <w:pStyle w:val="Compact"/>
              <w:jc w:val="left"/>
            </w:pPr>
            <w:r>
              <w:t xml:space="preserve">Specialization</w:t>
            </w:r>
          </w:p>
        </w:tc>
        <w:tc>
          <w:tcPr/>
          <w:p>
            <w:pPr>
              <w:pStyle w:val="Compact"/>
              <w:jc w:val="left"/>
            </w:pPr>
            <w:r>
              <w:t xml:space="preserve">University Lecturer — Department of Business Administration and Management Studies</w:t>
            </w:r>
          </w:p>
        </w:tc>
      </w:tr>
    </w:tbl>
    <w:bookmarkEnd w:id="22"/>
    <w:bookmarkStart w:id="23" w:name="description-of-goods-services-procured"/>
    <w:p>
      <w:pPr>
        <w:pStyle w:val="Heading2"/>
      </w:pPr>
      <w:r>
        <w:t xml:space="preserve">3. Description of Goods / Services Procured</w:t>
      </w:r>
    </w:p>
    <w:p>
      <w:pPr>
        <w:pStyle w:val="FirstParagraph"/>
      </w:pPr>
      <w:r>
        <w:t xml:space="preserve">This</w:t>
      </w:r>
      <w:r>
        <w:t xml:space="preserve"> </w:t>
      </w:r>
      <w:r>
        <w:t xml:space="preserve">Purchase Order</w:t>
      </w:r>
      <w:r>
        <w:t xml:space="preserve"> </w:t>
      </w:r>
      <w:r>
        <w:t xml:space="preserve">is issued by Dubai International University of Applied Sciences for the engagement of a qualified</w:t>
      </w:r>
      <w:r>
        <w:t xml:space="preserve"> </w:t>
      </w:r>
      <w:r>
        <w:t xml:space="preserve">University Lecturer</w:t>
      </w:r>
      <w:r>
        <w:t xml:space="preserve"> </w:t>
      </w:r>
      <w:r>
        <w:t xml:space="preserve">to deliver academic instruction, supervise research, and perform associated scholarly duties within the institution located in</w:t>
      </w:r>
      <w:r>
        <w:t xml:space="preserve"> </w:t>
      </w:r>
      <w:r>
        <w:t xml:space="preserve">United Arab Emirates Dubai</w:t>
      </w:r>
      <w:r>
        <w:t xml:space="preserve">. The scope of this</w:t>
      </w:r>
      <w:r>
        <w:t xml:space="preserve"> </w:t>
      </w:r>
      <w:r>
        <w:t xml:space="preserve">Purchase Order</w:t>
      </w:r>
      <w:r>
        <w:t xml:space="preserve"> </w:t>
      </w:r>
      <w:r>
        <w:t xml:space="preserve">encompasses the following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(AED)</w:t>
            </w:r>
          </w:p>
        </w:tc>
        <w:tc>
          <w:tcPr/>
          <w:p>
            <w:pPr>
              <w:pStyle w:val="Compact"/>
              <w:jc w:val="left"/>
            </w:pPr>
            <w:r>
              <w:t xml:space="preserve">Total (AED)</w:t>
            </w:r>
          </w:p>
        </w:tc>
      </w:tr>
      <w:tr>
        <w:tc>
          <w:tcPr/>
          <w:p>
            <w:pPr>
              <w:pStyle w:val="Compact"/>
              <w:jc w:val="left"/>
            </w:pPr>
            <w:r>
              <w:t xml:space="preserve">01</w:t>
            </w:r>
          </w:p>
        </w:tc>
        <w:tc>
          <w:tcPr/>
          <w:p>
            <w:pPr>
              <w:pStyle w:val="Compact"/>
              <w:jc w:val="left"/>
            </w:pPr>
            <w:r>
              <w:t xml:space="preserve">University Lecturer — Full-time academic instruction (36 contact hours/week) for the 2025/2026 academic year, including preparation of course materials, delivery of lectures, and administration of examinations in the Department of Business Administration.</w:t>
            </w:r>
          </w:p>
        </w:tc>
        <w:tc>
          <w:tcPr/>
          <w:p>
            <w:pPr>
              <w:pStyle w:val="Compact"/>
              <w:jc w:val="left"/>
            </w:pPr>
            <w:r>
              <w:t xml:space="preserve">1 position / 12 months</w:t>
            </w:r>
          </w:p>
        </w:tc>
        <w:tc>
          <w:tcPr/>
          <w:p>
            <w:pPr>
              <w:pStyle w:val="Compact"/>
              <w:jc w:val="left"/>
            </w:pPr>
            <w:r>
              <w:t xml:space="preserve">240,000.00</w:t>
            </w:r>
          </w:p>
        </w:tc>
        <w:tc>
          <w:tcPr/>
          <w:p>
            <w:pPr>
              <w:pStyle w:val="Compact"/>
              <w:jc w:val="left"/>
            </w:pPr>
            <w:r>
              <w:t xml:space="preserve">240,000.00</w:t>
            </w:r>
          </w:p>
        </w:tc>
      </w:tr>
      <w:tr>
        <w:tc>
          <w:tcPr/>
          <w:p>
            <w:pPr>
              <w:pStyle w:val="Compact"/>
              <w:jc w:val="left"/>
            </w:pPr>
            <w:r>
              <w:t xml:space="preserve">02</w:t>
            </w:r>
          </w:p>
        </w:tc>
        <w:tc>
          <w:tcPr/>
          <w:p>
            <w:pPr>
              <w:pStyle w:val="Compact"/>
              <w:jc w:val="left"/>
            </w:pPr>
            <w:r>
              <w:t xml:space="preserve">University Lecturer — Supervision of a minimum of four (4) undergraduate thesis projects and two (2) postgraduate dissertation candidates during the contract period.</w:t>
            </w:r>
          </w:p>
        </w:tc>
        <w:tc>
          <w:tcPr/>
          <w:p>
            <w:pPr>
              <w:pStyle w:val="Compact"/>
              <w:jc w:val="left"/>
            </w:pPr>
            <w:r>
              <w:t xml:space="preserve">6 candidates</w:t>
            </w:r>
          </w:p>
        </w:tc>
        <w:tc>
          <w:tcPr/>
          <w:p>
            <w:pPr>
              <w:pStyle w:val="Compact"/>
              <w:jc w:val="left"/>
            </w:pPr>
            <w:r>
              <w:t xml:space="preserve">3,500.00</w:t>
            </w:r>
          </w:p>
        </w:tc>
        <w:tc>
          <w:tcPr/>
          <w:p>
            <w:pPr>
              <w:pStyle w:val="Compact"/>
              <w:jc w:val="left"/>
            </w:pPr>
            <w:r>
              <w:t xml:space="preserve">21,000.00</w:t>
            </w:r>
          </w:p>
        </w:tc>
      </w:tr>
      <w:tr>
        <w:tc>
          <w:tcPr/>
          <w:p>
            <w:pPr>
              <w:pStyle w:val="Compact"/>
              <w:jc w:val="left"/>
            </w:pPr>
            <w:r>
              <w:t xml:space="preserve">03</w:t>
            </w:r>
          </w:p>
        </w:tc>
        <w:tc>
          <w:tcPr/>
          <w:p>
            <w:pPr>
              <w:pStyle w:val="Compact"/>
              <w:jc w:val="left"/>
            </w:pPr>
            <w:r>
              <w:t xml:space="preserve">University Lecturer — Participation in academic committee meetings, curriculum review panels, and institutional accreditation activities as required by the United Arab Emirates Dubai Higher Education Council.</w:t>
            </w:r>
          </w:p>
        </w:tc>
        <w:tc>
          <w:tcPr/>
          <w:p>
            <w:pPr>
              <w:pStyle w:val="Compact"/>
              <w:jc w:val="left"/>
            </w:pPr>
            <w:r>
              <w:t xml:space="preserve">As required</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04</w:t>
            </w:r>
          </w:p>
        </w:tc>
        <w:tc>
          <w:tcPr/>
          <w:p>
            <w:pPr>
              <w:pStyle w:val="Compact"/>
              <w:jc w:val="left"/>
            </w:pPr>
            <w:r>
              <w:t xml:space="preserve">University Lecturer — Professional development and mandatory training in accordance with the United Arab Emirates Dubai Ministry of Education guidelines for academic staff.</w:t>
            </w:r>
          </w:p>
        </w:tc>
        <w:tc>
          <w:tcPr/>
          <w:p>
            <w:pPr>
              <w:pStyle w:val="Compact"/>
              <w:jc w:val="left"/>
            </w:pPr>
            <w:r>
              <w:t xml:space="preserve">1 package</w:t>
            </w:r>
          </w:p>
        </w:tc>
        <w:tc>
          <w:tcPr/>
          <w:p>
            <w:pPr>
              <w:pStyle w:val="Compact"/>
              <w:jc w:val="left"/>
            </w:pPr>
            <w:r>
              <w:t xml:space="preserve">5,000.00</w:t>
            </w:r>
          </w:p>
        </w:tc>
        <w:tc>
          <w:tcPr/>
          <w:p>
            <w:pPr>
              <w:pStyle w:val="Compact"/>
              <w:jc w:val="left"/>
            </w:pPr>
            <w:r>
              <w:t xml:space="preserve">5,000.00</w:t>
            </w:r>
          </w:p>
        </w:tc>
      </w:tr>
      <w:tr>
        <w:tc>
          <w:tcPr>
            <w:gridSpan w:val="4"/>
          </w:tcPr>
          <w:p>
            <w:pPr>
              <w:pStyle w:val="Compact"/>
              <w:jc w:val="left"/>
            </w:pPr>
            <w:r>
              <w:t xml:space="preserve">Subtotal</w:t>
            </w:r>
          </w:p>
        </w:tc>
        <w:tc>
          <w:tcPr/>
          <w:p>
            <w:pPr>
              <w:pStyle w:val="Compact"/>
              <w:jc w:val="left"/>
            </w:pPr>
            <w:r>
              <w:t xml:space="preserve">267,200.00</w:t>
            </w:r>
          </w:p>
        </w:tc>
      </w:tr>
      <w:tr>
        <w:tc>
          <w:tcPr>
            <w:gridSpan w:val="4"/>
          </w:tcPr>
          <w:p>
            <w:pPr>
              <w:pStyle w:val="Compact"/>
              <w:jc w:val="left"/>
            </w:pPr>
            <w:r>
              <w:t xml:space="preserve">VAT (5% — United Arab Emirates Dubai Federal Tax Authority)</w:t>
            </w:r>
          </w:p>
        </w:tc>
        <w:tc>
          <w:tcPr/>
          <w:p>
            <w:pPr>
              <w:pStyle w:val="Compact"/>
              <w:jc w:val="left"/>
            </w:pPr>
            <w:r>
              <w:t xml:space="preserve">13,360.00</w:t>
            </w:r>
          </w:p>
        </w:tc>
      </w:tr>
      <w:tr>
        <w:tc>
          <w:tcPr>
            <w:gridSpan w:val="4"/>
          </w:tcPr>
          <w:p>
            <w:pPr>
              <w:pStyle w:val="Compact"/>
              <w:jc w:val="left"/>
            </w:pPr>
            <w:r>
              <w:t xml:space="preserve">Grand Total (AED)</w:t>
            </w:r>
          </w:p>
        </w:tc>
        <w:tc>
          <w:tcPr/>
          <w:p>
            <w:pPr>
              <w:pStyle w:val="Compact"/>
              <w:jc w:val="left"/>
            </w:pPr>
            <w:r>
              <w:t xml:space="preserve">280,560.00</w:t>
            </w:r>
          </w:p>
        </w:tc>
      </w:tr>
    </w:tbl>
    <w:bookmarkEnd w:id="23"/>
    <w:bookmarkStart w:id="24" w:name="terms-and-conditions"/>
    <w:p>
      <w:pPr>
        <w:pStyle w:val="Heading2"/>
      </w:pPr>
      <w:r>
        <w:t xml:space="preserve">4. Terms and Conditions</w:t>
      </w:r>
    </w:p>
    <w:p>
      <w:pPr>
        <w:numPr>
          <w:ilvl w:val="0"/>
          <w:numId w:val="1001"/>
        </w:numPr>
        <w:pStyle w:val="Compact"/>
      </w:pPr>
      <w:r>
        <w:t xml:space="preserve">This</w:t>
      </w:r>
      <w:r>
        <w:t xml:space="preserve"> </w:t>
      </w:r>
      <w:r>
        <w:t xml:space="preserve">Purchase Order</w:t>
      </w:r>
      <w:r>
        <w:t xml:space="preserve"> </w:t>
      </w:r>
      <w:r>
        <w:t xml:space="preserve">shall be governed by and construed in accordance with the laws of the United Arab Emirates, specifically the Federal Decree-Law No. 32 of 2021 on the Private Sector Labour Law and the regulations issued by the United Arab Emirates Dubai Department of Economic Development.</w:t>
      </w:r>
    </w:p>
    <w:p>
      <w:pPr>
        <w:numPr>
          <w:ilvl w:val="0"/>
          <w:numId w:val="1001"/>
        </w:numPr>
        <w:pStyle w:val="Compact"/>
      </w:pPr>
      <w:r>
        <w:t xml:space="preserve">The</w:t>
      </w:r>
      <w:r>
        <w:t xml:space="preserve"> </w:t>
      </w:r>
      <w:r>
        <w:t xml:space="preserve">University Lecturer</w:t>
      </w:r>
      <w:r>
        <w:t xml:space="preserve"> </w:t>
      </w:r>
      <w:r>
        <w:t xml:space="preserve">shall comply with all institutional policies, academic integrity standards, and the code of conduct established by Dubai International University of Applied Sciences and the United Arab Emirates Dubai Higher Education Council.</w:t>
      </w:r>
    </w:p>
    <w:p>
      <w:pPr>
        <w:numPr>
          <w:ilvl w:val="0"/>
          <w:numId w:val="1001"/>
        </w:numPr>
        <w:pStyle w:val="Compact"/>
      </w:pPr>
      <w:r>
        <w:t xml:space="preserve">Payment shall be disbursed on a monthly basis within fifteen (15) business days following the end of each calendar month, via bank transfer to the account specified in Section 2 of this</w:t>
      </w:r>
      <w:r>
        <w:t xml:space="preserve"> </w:t>
      </w:r>
      <w:r>
        <w:t xml:space="preserve">Purchase Order</w:t>
      </w:r>
      <w:r>
        <w:t xml:space="preserve">.</w:t>
      </w:r>
    </w:p>
    <w:p>
      <w:pPr>
        <w:numPr>
          <w:ilvl w:val="0"/>
          <w:numId w:val="1001"/>
        </w:numPr>
        <w:pStyle w:val="Compact"/>
      </w:pPr>
      <w:r>
        <w:t xml:space="preserve">The</w:t>
      </w:r>
      <w:r>
        <w:t xml:space="preserve"> </w:t>
      </w:r>
      <w:r>
        <w:t xml:space="preserve">University Lecturer</w:t>
      </w:r>
      <w:r>
        <w:t xml:space="preserve"> </w:t>
      </w:r>
      <w:r>
        <w:t xml:space="preserve">is required to maintain a valid residence visa and work permit issued by the United Arab Emirates Dubai General Directorate of Residency and Foreigners Affairs (GDRFA) for the entire duration of this engagement.</w:t>
      </w:r>
    </w:p>
    <w:p>
      <w:pPr>
        <w:numPr>
          <w:ilvl w:val="0"/>
          <w:numId w:val="1001"/>
        </w:numPr>
        <w:pStyle w:val="Compact"/>
      </w:pPr>
      <w:r>
        <w:t xml:space="preserve">Any modification to the scope, duration, or compensation outlined in this</w:t>
      </w:r>
      <w:r>
        <w:t xml:space="preserve"> </w:t>
      </w:r>
      <w:r>
        <w:t xml:space="preserve">Purchase Order</w:t>
      </w:r>
      <w:r>
        <w:t xml:space="preserve"> </w:t>
      </w:r>
      <w:r>
        <w:t xml:space="preserve">must be documented in a written amendment signed by both parties and countersigned by the Dean of Academic Affairs.</w:t>
      </w:r>
    </w:p>
    <w:p>
      <w:pPr>
        <w:numPr>
          <w:ilvl w:val="0"/>
          <w:numId w:val="1001"/>
        </w:numPr>
        <w:pStyle w:val="Compact"/>
      </w:pPr>
      <w:r>
        <w:t xml:space="preserve">The</w:t>
      </w:r>
      <w:r>
        <w:t xml:space="preserve"> </w:t>
      </w:r>
      <w:r>
        <w:t xml:space="preserve">University Lecturer</w:t>
      </w:r>
      <w:r>
        <w:t xml:space="preserve"> </w:t>
      </w:r>
      <w:r>
        <w:t xml:space="preserve">shall submit a monthly activity report detailing hours of instruction delivered, student supervision progress, and committee participation to the Department Head no later than the fifth (5th) business day of the following month.</w:t>
      </w:r>
    </w:p>
    <w:p>
      <w:pPr>
        <w:numPr>
          <w:ilvl w:val="0"/>
          <w:numId w:val="1001"/>
        </w:numPr>
        <w:pStyle w:val="Compact"/>
      </w:pPr>
      <w:r>
        <w:t xml:space="preserve">This</w:t>
      </w:r>
      <w:r>
        <w:t xml:space="preserve"> </w:t>
      </w:r>
      <w:r>
        <w:t xml:space="preserve">Purchase Order</w:t>
      </w:r>
      <w:r>
        <w:t xml:space="preserve"> </w:t>
      </w:r>
      <w:r>
        <w:t xml:space="preserve">does not constitute a permanent employment contract. The engagement is for a fixed term of twelve (12) months commencing 1 September 2025 and concluding 31 August 2026, subject to renewal at the sole discretion of the institution.</w:t>
      </w:r>
    </w:p>
    <w:p>
      <w:pPr>
        <w:numPr>
          <w:ilvl w:val="0"/>
          <w:numId w:val="1001"/>
        </w:numPr>
        <w:pStyle w:val="Compact"/>
      </w:pPr>
      <w:r>
        <w:t xml:space="preserve">Disputes arising from this</w:t>
      </w:r>
      <w:r>
        <w:t xml:space="preserve"> </w:t>
      </w:r>
      <w:r>
        <w:t xml:space="preserve">Purchase Order</w:t>
      </w:r>
      <w:r>
        <w:t xml:space="preserve"> </w:t>
      </w:r>
      <w:r>
        <w:t xml:space="preserve">shall be resolved through the United Arab Emirates Dubai Courts of First Instance, with the seat of jurisdiction located in the Dubai Judicial Complex.</w:t>
      </w:r>
    </w:p>
    <w:p>
      <w:pPr>
        <w:numPr>
          <w:ilvl w:val="0"/>
          <w:numId w:val="1001"/>
        </w:numPr>
        <w:pStyle w:val="Compact"/>
      </w:pPr>
      <w:r>
        <w:t xml:space="preserve">The</w:t>
      </w:r>
      <w:r>
        <w:t xml:space="preserve"> </w:t>
      </w:r>
      <w:r>
        <w:t xml:space="preserve">University Lecturer</w:t>
      </w:r>
      <w:r>
        <w:t xml:space="preserve"> </w:t>
      </w:r>
      <w:r>
        <w:t xml:space="preserve">agrees to a non-compete clause for a period of six (6) months following the termination of this engagement, within the geographic boundaries of United Arab Emirates Dubai and its emirates.</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that this</w:t>
      </w:r>
      <w:r>
        <w:t xml:space="preserve"> </w:t>
      </w:r>
      <w:r>
        <w:t xml:space="preserve">Purchase Order</w:t>
      </w:r>
      <w:r>
        <w:t xml:space="preserve"> </w:t>
      </w:r>
      <w:r>
        <w:t xml:space="preserve">for the engagement of a</w:t>
      </w:r>
      <w:r>
        <w:t xml:space="preserve"> </w:t>
      </w:r>
      <w:r>
        <w:t xml:space="preserve">University Lecturer</w:t>
      </w:r>
      <w:r>
        <w:t xml:space="preserve"> </w:t>
      </w:r>
      <w:r>
        <w:t xml:space="preserve">in</w:t>
      </w:r>
      <w:r>
        <w:t xml:space="preserve"> </w:t>
      </w:r>
      <w:r>
        <w:t xml:space="preserve">United Arab Emirates Dubai</w:t>
      </w:r>
      <w:r>
        <w:t xml:space="preserve"> </w:t>
      </w:r>
      <w:r>
        <w:t xml:space="preserve">has been reviewed, understood, and accepted in its entirety. All terms, conditions, and financial obligations set forth herein are binding upon execution.</w:t>
      </w:r>
    </w:p>
    <w:bookmarkEnd w:id="25"/>
    <w:p>
      <w:pPr>
        <w:pStyle w:val="BodyText"/>
      </w:pPr>
      <w:r>
        <w:rPr>
          <w:bCs/>
          <w:b/>
        </w:rPr>
        <w:t xml:space="preserve">For the Purchasing Entity</w:t>
      </w:r>
      <w:r>
        <w:br/>
      </w:r>
      <w:r>
        <w:t xml:space="preserve">Dr. Fatima Al Mansouri</w:t>
      </w:r>
      <w:r>
        <w:br/>
      </w:r>
      <w:r>
        <w:t xml:space="preserve">Dean of Academic Affairs</w:t>
      </w:r>
      <w:r>
        <w:br/>
      </w:r>
      <w:r>
        <w:t xml:space="preserve">Dubai International University of Applied Sciences</w:t>
      </w:r>
      <w:r>
        <w:br/>
      </w:r>
      <w:r>
        <w:t xml:space="preserve">United Arab Emirates Dubai</w:t>
      </w:r>
      <w:r>
        <w:br/>
      </w:r>
      <w:r>
        <w:t xml:space="preserve">Date: _______________</w:t>
      </w:r>
    </w:p>
    <w:p>
      <w:pPr>
        <w:pStyle w:val="BodyText"/>
      </w:pPr>
      <w:r>
        <w:rPr>
          <w:bCs/>
          <w:b/>
        </w:rPr>
        <w:t xml:space="preserve">For the Supplier / University Lecturer</w:t>
      </w:r>
      <w:r>
        <w:br/>
      </w:r>
      <w:r>
        <w:t xml:space="preserve">Dr. James R. Whitfield</w:t>
      </w:r>
      <w:r>
        <w:br/>
      </w:r>
      <w:r>
        <w:t xml:space="preserve">Independent Academic Consultant</w:t>
      </w:r>
      <w:r>
        <w:br/>
      </w:r>
      <w:r>
        <w:t xml:space="preserve">United Arab Emirates Dubai</w:t>
      </w:r>
      <w:r>
        <w:br/>
      </w:r>
      <w:r>
        <w:t xml:space="preserve">Date: _______________</w:t>
      </w:r>
    </w:p>
    <w:p>
      <w:pPr>
        <w:pStyle w:val="BodyText"/>
      </w:pPr>
      <w:r>
        <w:t xml:space="preserve">This Purchase Order (No. UAE-DXB-UL-2025-04872) is an official document of Dubai International University of Applied Sciences, United Arab Emirates Dubai. Unauthorized reproduction or distribution is prohibited. For inquiries, contact the Procurement Office at procurement@dubai-intl-univ.ae or visit the Academic Services Division, Knowledge Village, United Arab Emirates Dubai.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University Lecturer - United Arab Emirates Dubai</dc:title>
  <dc:creator/>
  <dc:language>en</dc:language>
  <cp:keywords/>
  <dcterms:created xsi:type="dcterms:W3CDTF">2026-10-10T07:08:11Z</dcterms:created>
  <dcterms:modified xsi:type="dcterms:W3CDTF">2026-10-10T07:08:11Z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