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purchase-order"/>
    <w:p>
      <w:pPr>
        <w:pStyle w:val="Heading1"/>
      </w:pPr>
      <w:r>
        <w:t xml:space="preserve">PURCHASE ORDER</w:t>
      </w:r>
    </w:p>
    <w:p>
      <w:pPr>
        <w:pStyle w:val="FirstParagraph"/>
      </w:pPr>
      <w:r>
        <w:t xml:space="preserve">UX UI Designer Professional Services</w:t>
      </w:r>
    </w:p>
    <w:p>
      <w:pPr>
        <w:pStyle w:val="BodyText"/>
      </w:pPr>
      <w:r>
        <w:t xml:space="preserve">PO No: IR-THN-2025-04782</w:t>
      </w:r>
    </w:p>
    <w:p>
      <w:pPr>
        <w:pStyle w:val="BodyText"/>
      </w:pPr>
      <w:r>
        <w:t xml:space="preserve">Issued in Iran Tehran | Date: 15 June 2025</w:t>
      </w:r>
    </w:p>
    <w:bookmarkEnd w:id="20"/>
    <w:bookmarkStart w:id="21" w:name="parties-involved"/>
    <w:p>
      <w:pPr>
        <w:pStyle w:val="Heading2"/>
      </w:pPr>
      <w:r>
        <w:t xml:space="preserve">1. Parties Involved</w:t>
      </w:r>
    </w:p>
    <w:p>
      <w:pPr>
        <w:pStyle w:val="FirstParagraph"/>
      </w:pPr>
      <w:r>
        <w:t xml:space="preserve">Purchasing Entity (Buyer):</w:t>
      </w:r>
    </w:p>
    <w:p>
      <w:pPr>
        <w:pStyle w:val="BodyText"/>
      </w:pPr>
      <w:r>
        <w:rPr>
          <w:bCs/>
          <w:b/>
        </w:rPr>
        <w:t xml:space="preserve">Tehran Digital Solutions Co., Ltd.</w:t>
      </w:r>
      <w:r>
        <w:br/>
      </w:r>
      <w:r>
        <w:t xml:space="preserve">Address: Valiasr Street, 12th Floor, Building 45,</w:t>
      </w:r>
      <w:r>
        <w:br/>
      </w:r>
      <w:r>
        <w:t xml:space="preserve">Tehran, Iran</w:t>
      </w:r>
      <w:r>
        <w:br/>
      </w:r>
      <w:r>
        <w:t xml:space="preserve">Tax ID: 1024578931</w:t>
      </w:r>
      <w:r>
        <w:br/>
      </w:r>
      <w:r>
        <w:t xml:space="preserve">Contact: procurement@tehrandigital.ir</w:t>
      </w:r>
      <w:r>
        <w:br/>
      </w:r>
      <w:r>
        <w:t xml:space="preserve">Phone: +98-21-8876-5432</w:t>
      </w:r>
    </w:p>
    <w:p>
      <w:pPr>
        <w:pStyle w:val="BodyText"/>
      </w:pPr>
      <w:r>
        <w:t xml:space="preserve">Service Provider (Seller):</w:t>
      </w:r>
    </w:p>
    <w:p>
      <w:pPr>
        <w:pStyle w:val="BodyText"/>
      </w:pPr>
      <w:r>
        <w:rPr>
          <w:bCs/>
          <w:b/>
        </w:rPr>
        <w:t xml:space="preserve">Amir Hossein Karimi – UX UI Designer</w:t>
      </w:r>
      <w:r>
        <w:br/>
      </w:r>
      <w:r>
        <w:t xml:space="preserve">Address: Enghelab Street, Unit 7, Building 12,</w:t>
      </w:r>
      <w:r>
        <w:br/>
      </w:r>
      <w:r>
        <w:t xml:space="preserve">Tehran, Iran</w:t>
      </w:r>
      <w:r>
        <w:br/>
      </w:r>
      <w:r>
        <w:t xml:space="preserve">National ID: 0045872361</w:t>
      </w:r>
      <w:r>
        <w:br/>
      </w:r>
      <w:r>
        <w:t xml:space="preserve">Contact: a.karimi@uxdesign-iran.com</w:t>
      </w:r>
      <w:r>
        <w:br/>
      </w:r>
      <w:r>
        <w:t xml:space="preserve">Phone: +98-912-345-6789</w:t>
      </w:r>
    </w:p>
    <w:bookmarkEnd w:id="21"/>
    <w:bookmarkStart w:id="22" w:name="purchase-order-description"/>
    <w:p>
      <w:pPr>
        <w:pStyle w:val="Heading2"/>
      </w:pPr>
      <w:r>
        <w:t xml:space="preserve">2. Purchase Order Description</w:t>
      </w:r>
    </w:p>
    <w:p>
      <w:pPr>
        <w:pStyle w:val="FirstParagraph"/>
      </w:pPr>
      <w:r>
        <w:t xml:space="preserve">This</w:t>
      </w:r>
      <w:r>
        <w:t xml:space="preserve"> </w:t>
      </w:r>
      <w:r>
        <w:t xml:space="preserve">Purchase Order</w:t>
      </w:r>
      <w:r>
        <w:t xml:space="preserve"> </w:t>
      </w:r>
      <w:r>
        <w:t xml:space="preserve">is issued by Tehran Digital Solutions Co., Ltd. to formally engage the services of a qualified</w:t>
      </w:r>
      <w:r>
        <w:t xml:space="preserve"> </w:t>
      </w:r>
      <w:r>
        <w:t xml:space="preserve">UX UI Designer</w:t>
      </w:r>
      <w:r>
        <w:t xml:space="preserve"> </w:t>
      </w:r>
      <w:r>
        <w:t xml:space="preserve">for the development, design, and implementation of user experience and user interface solutions for the company's flagship mobile and web applications. This</w:t>
      </w:r>
      <w:r>
        <w:t xml:space="preserve"> </w:t>
      </w:r>
      <w:r>
        <w:t xml:space="preserve">Purchase Order</w:t>
      </w:r>
      <w:r>
        <w:t xml:space="preserve"> </w:t>
      </w:r>
      <w:r>
        <w:t xml:space="preserve">is governed by the commercial laws of the Islamic Republic of Iran and is to be executed within the jurisdiction of</w:t>
      </w:r>
      <w:r>
        <w:t xml:space="preserve"> </w:t>
      </w:r>
      <w:r>
        <w:t xml:space="preserve">Iran Tehran</w:t>
      </w:r>
      <w:r>
        <w:t xml:space="preserve">. All deliverables, meetings, and on-site consultations shall take place at the buyer's registered office in Tehran, Iran, unless otherwise agreed upon in writing by both parties.</w:t>
      </w:r>
    </w:p>
    <w:p>
      <w:pPr>
        <w:pStyle w:val="BodyText"/>
      </w:pPr>
      <w:r>
        <w:t xml:space="preserve">The</w:t>
      </w:r>
      <w:r>
        <w:t xml:space="preserve"> </w:t>
      </w:r>
      <w:r>
        <w:t xml:space="preserve">UX UI Designer</w:t>
      </w:r>
      <w:r>
        <w:t xml:space="preserve"> </w:t>
      </w:r>
      <w:r>
        <w:t xml:space="preserve">engaged under this</w:t>
      </w:r>
      <w:r>
        <w:t xml:space="preserve"> </w:t>
      </w:r>
      <w:r>
        <w:t xml:space="preserve">Purchase Order</w:t>
      </w:r>
      <w:r>
        <w:t xml:space="preserve"> </w:t>
      </w:r>
      <w:r>
        <w:t xml:space="preserve">shall be responsible for conducting comprehensive user research, creating wireframes, developing high-fidelity prototypes, designing responsive interfaces, and ensuring that all design outputs comply with international accessibility standards while remaining culturally appropriate for the Iranian market. The</w:t>
      </w:r>
      <w:r>
        <w:t xml:space="preserve"> </w:t>
      </w:r>
      <w:r>
        <w:t xml:space="preserve">UX UI Designer</w:t>
      </w:r>
      <w:r>
        <w:t xml:space="preserve"> </w:t>
      </w:r>
      <w:r>
        <w:t xml:space="preserve">must demonstrate a minimum of five (5) years of professional experience in digital product design and must provide a portfolio of previously completed projects for review prior to the commencement of work.</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Deliverable</w:t>
            </w:r>
          </w:p>
        </w:tc>
        <w:tc>
          <w:tcPr/>
          <w:p>
            <w:pPr>
              <w:pStyle w:val="Compact"/>
              <w:jc w:val="left"/>
            </w:pPr>
            <w:r>
              <w:t xml:space="preserve">Timeline</w:t>
            </w:r>
          </w:p>
        </w:tc>
        <w:tc>
          <w:tcPr/>
          <w:p>
            <w:pPr>
              <w:pStyle w:val="Compact"/>
              <w:jc w:val="left"/>
            </w:pPr>
            <w:r>
              <w:t xml:space="preserve">Amount (IRR)</w:t>
            </w:r>
          </w:p>
        </w:tc>
      </w:tr>
      <w:tr>
        <w:tc>
          <w:tcPr/>
          <w:p>
            <w:pPr>
              <w:pStyle w:val="Compact"/>
              <w:jc w:val="left"/>
            </w:pPr>
            <w:r>
              <w:t xml:space="preserve">01</w:t>
            </w:r>
          </w:p>
        </w:tc>
        <w:tc>
          <w:tcPr/>
          <w:p>
            <w:pPr>
              <w:pStyle w:val="Compact"/>
              <w:jc w:val="left"/>
            </w:pPr>
            <w:r>
              <w:t xml:space="preserve">User Research &amp; Competitive Analysis for the Tehran-based e-commerce platform</w:t>
            </w:r>
          </w:p>
        </w:tc>
        <w:tc>
          <w:tcPr/>
          <w:p>
            <w:pPr>
              <w:pStyle w:val="Compact"/>
              <w:jc w:val="left"/>
            </w:pPr>
            <w:r>
              <w:t xml:space="preserve">Research Report (PDF, 40+ pages)</w:t>
            </w:r>
          </w:p>
        </w:tc>
        <w:tc>
          <w:tcPr/>
          <w:p>
            <w:pPr>
              <w:pStyle w:val="Compact"/>
              <w:jc w:val="left"/>
            </w:pPr>
            <w:r>
              <w:t xml:space="preserve">Weeks 1–3</w:t>
            </w:r>
          </w:p>
        </w:tc>
        <w:tc>
          <w:tcPr/>
          <w:p>
            <w:pPr>
              <w:pStyle w:val="Compact"/>
              <w:jc w:val="left"/>
            </w:pPr>
            <w:r>
              <w:t xml:space="preserve">45,000,000</w:t>
            </w:r>
          </w:p>
        </w:tc>
      </w:tr>
      <w:tr>
        <w:tc>
          <w:tcPr/>
          <w:p>
            <w:pPr>
              <w:pStyle w:val="Compact"/>
              <w:jc w:val="left"/>
            </w:pPr>
            <w:r>
              <w:t xml:space="preserve">02</w:t>
            </w:r>
          </w:p>
        </w:tc>
        <w:tc>
          <w:tcPr/>
          <w:p>
            <w:pPr>
              <w:pStyle w:val="Compact"/>
              <w:jc w:val="left"/>
            </w:pPr>
            <w:r>
              <w:t xml:space="preserve">Information Architecture &amp; User Flow Mapping</w:t>
            </w:r>
          </w:p>
        </w:tc>
        <w:tc>
          <w:tcPr/>
          <w:p>
            <w:pPr>
              <w:pStyle w:val="Compact"/>
              <w:jc w:val="left"/>
            </w:pPr>
            <w:r>
              <w:t xml:space="preserve">IA Diagrams &amp; Flowcharts (Figma)</w:t>
            </w:r>
          </w:p>
        </w:tc>
        <w:tc>
          <w:tcPr/>
          <w:p>
            <w:pPr>
              <w:pStyle w:val="Compact"/>
              <w:jc w:val="left"/>
            </w:pPr>
            <w:r>
              <w:t xml:space="preserve">Weeks 3–5</w:t>
            </w:r>
          </w:p>
        </w:tc>
        <w:tc>
          <w:tcPr/>
          <w:p>
            <w:pPr>
              <w:pStyle w:val="Compact"/>
              <w:jc w:val="left"/>
            </w:pPr>
            <w:r>
              <w:t xml:space="preserve">38,000,000</w:t>
            </w:r>
          </w:p>
        </w:tc>
      </w:tr>
      <w:tr>
        <w:tc>
          <w:tcPr/>
          <w:p>
            <w:pPr>
              <w:pStyle w:val="Compact"/>
              <w:jc w:val="left"/>
            </w:pPr>
            <w:r>
              <w:t xml:space="preserve">03</w:t>
            </w:r>
          </w:p>
        </w:tc>
        <w:tc>
          <w:tcPr/>
          <w:p>
            <w:pPr>
              <w:pStyle w:val="Compact"/>
              <w:jc w:val="left"/>
            </w:pPr>
            <w:r>
              <w:t xml:space="preserve">Low-Fidelity Wireframes for 25+ Screens (Mobile &amp; Web)</w:t>
            </w:r>
          </w:p>
        </w:tc>
        <w:tc>
          <w:tcPr/>
          <w:p>
            <w:pPr>
              <w:pStyle w:val="Compact"/>
              <w:jc w:val="left"/>
            </w:pPr>
            <w:r>
              <w:t xml:space="preserve">Wireframe Set (Figma)</w:t>
            </w:r>
          </w:p>
        </w:tc>
        <w:tc>
          <w:tcPr/>
          <w:p>
            <w:pPr>
              <w:pStyle w:val="Compact"/>
              <w:jc w:val="left"/>
            </w:pPr>
            <w:r>
              <w:t xml:space="preserve">Weeks 5–8</w:t>
            </w:r>
          </w:p>
        </w:tc>
        <w:tc>
          <w:tcPr/>
          <w:p>
            <w:pPr>
              <w:pStyle w:val="Compact"/>
              <w:jc w:val="left"/>
            </w:pPr>
            <w:r>
              <w:t xml:space="preserve">52,000,000</w:t>
            </w:r>
          </w:p>
        </w:tc>
      </w:tr>
      <w:tr>
        <w:tc>
          <w:tcPr/>
          <w:p>
            <w:pPr>
              <w:pStyle w:val="Compact"/>
              <w:jc w:val="left"/>
            </w:pPr>
            <w:r>
              <w:t xml:space="preserve">04</w:t>
            </w:r>
          </w:p>
        </w:tc>
        <w:tc>
          <w:tcPr/>
          <w:p>
            <w:pPr>
              <w:pStyle w:val="Compact"/>
              <w:jc w:val="left"/>
            </w:pPr>
            <w:r>
              <w:t xml:space="preserve">High-Fidelity UI Design &amp; Design System Creation</w:t>
            </w:r>
          </w:p>
        </w:tc>
        <w:tc>
          <w:tcPr/>
          <w:p>
            <w:pPr>
              <w:pStyle w:val="Compact"/>
              <w:jc w:val="left"/>
            </w:pPr>
            <w:r>
              <w:t xml:space="preserve">UI Kit &amp; Component Library (Figma)</w:t>
            </w:r>
          </w:p>
        </w:tc>
        <w:tc>
          <w:tcPr/>
          <w:p>
            <w:pPr>
              <w:pStyle w:val="Compact"/>
              <w:jc w:val="left"/>
            </w:pPr>
            <w:r>
              <w:t xml:space="preserve">Weeks 8–12</w:t>
            </w:r>
          </w:p>
        </w:tc>
        <w:tc>
          <w:tcPr/>
          <w:p>
            <w:pPr>
              <w:pStyle w:val="Compact"/>
              <w:jc w:val="left"/>
            </w:pPr>
            <w:r>
              <w:t xml:space="preserve">67,000,000</w:t>
            </w:r>
          </w:p>
        </w:tc>
      </w:tr>
      <w:tr>
        <w:tc>
          <w:tcPr/>
          <w:p>
            <w:pPr>
              <w:pStyle w:val="Compact"/>
              <w:jc w:val="left"/>
            </w:pPr>
            <w:r>
              <w:t xml:space="preserve">05</w:t>
            </w:r>
          </w:p>
        </w:tc>
        <w:tc>
          <w:tcPr/>
          <w:p>
            <w:pPr>
              <w:pStyle w:val="Compact"/>
              <w:jc w:val="left"/>
            </w:pPr>
            <w:r>
              <w:t xml:space="preserve">Interactive Prototyping &amp; Usability Testing (5 sessions in Tehran)</w:t>
            </w:r>
          </w:p>
        </w:tc>
        <w:tc>
          <w:tcPr/>
          <w:p>
            <w:pPr>
              <w:pStyle w:val="Compact"/>
              <w:jc w:val="left"/>
            </w:pPr>
            <w:r>
              <w:t xml:space="preserve">Prototype &amp; Test Report</w:t>
            </w:r>
          </w:p>
        </w:tc>
        <w:tc>
          <w:tcPr/>
          <w:p>
            <w:pPr>
              <w:pStyle w:val="Compact"/>
              <w:jc w:val="left"/>
            </w:pPr>
            <w:r>
              <w:t xml:space="preserve">Weeks 12–15</w:t>
            </w:r>
          </w:p>
        </w:tc>
        <w:tc>
          <w:tcPr/>
          <w:p>
            <w:pPr>
              <w:pStyle w:val="Compact"/>
              <w:jc w:val="left"/>
            </w:pPr>
            <w:r>
              <w:t xml:space="preserve">41,000,000</w:t>
            </w:r>
          </w:p>
        </w:tc>
      </w:tr>
      <w:tr>
        <w:tc>
          <w:tcPr/>
          <w:p>
            <w:pPr>
              <w:pStyle w:val="Compact"/>
              <w:jc w:val="left"/>
            </w:pPr>
            <w:r>
              <w:t xml:space="preserve">06</w:t>
            </w:r>
          </w:p>
        </w:tc>
        <w:tc>
          <w:tcPr/>
          <w:p>
            <w:pPr>
              <w:pStyle w:val="Compact"/>
              <w:jc w:val="left"/>
            </w:pPr>
            <w:r>
              <w:t xml:space="preserve">Developer Handoff, Design QA &amp; Post-Launch Support (30 days)</w:t>
            </w:r>
          </w:p>
        </w:tc>
        <w:tc>
          <w:tcPr/>
          <w:p>
            <w:pPr>
              <w:pStyle w:val="Compact"/>
              <w:jc w:val="left"/>
            </w:pPr>
            <w:r>
              <w:t xml:space="preserve">Handoff Docs &amp; Revision Cycles</w:t>
            </w:r>
          </w:p>
        </w:tc>
        <w:tc>
          <w:tcPr/>
          <w:p>
            <w:pPr>
              <w:pStyle w:val="Compact"/>
              <w:jc w:val="left"/>
            </w:pPr>
            <w:r>
              <w:t xml:space="preserve">Weeks 15–19</w:t>
            </w:r>
          </w:p>
        </w:tc>
        <w:tc>
          <w:tcPr/>
          <w:p>
            <w:pPr>
              <w:pStyle w:val="Compact"/>
              <w:jc w:val="left"/>
            </w:pPr>
            <w:r>
              <w:t xml:space="preserve">35,000,000</w:t>
            </w:r>
          </w:p>
        </w:tc>
      </w:tr>
      <w:tr>
        <w:tc>
          <w:tcPr>
            <w:gridSpan w:val="4"/>
          </w:tcPr>
          <w:p>
            <w:pPr>
              <w:pStyle w:val="Compact"/>
              <w:jc w:val="left"/>
            </w:pPr>
            <w:r>
              <w:t xml:space="preserve">TOTAL AMOUNT (Incl. 10% VAT – Iran Tehran Tax Code)</w:t>
            </w:r>
          </w:p>
        </w:tc>
        <w:tc>
          <w:tcPr/>
          <w:p>
            <w:pPr>
              <w:pStyle w:val="Compact"/>
              <w:jc w:val="left"/>
            </w:pPr>
            <w:r>
              <w:t xml:space="preserve">313,300,000</w:t>
            </w:r>
          </w:p>
        </w:tc>
      </w:tr>
    </w:tbl>
    <w:bookmarkEnd w:id="23"/>
    <w:bookmarkStart w:id="24" w:name="payment-terms"/>
    <w:p>
      <w:pPr>
        <w:pStyle w:val="Heading2"/>
      </w:pPr>
      <w:r>
        <w:t xml:space="preserve">4. Payment Terms</w:t>
      </w:r>
    </w:p>
    <w:p>
      <w:pPr>
        <w:numPr>
          <w:ilvl w:val="0"/>
          <w:numId w:val="1001"/>
        </w:numPr>
        <w:pStyle w:val="Compact"/>
      </w:pPr>
      <w:r>
        <w:rPr>
          <w:bCs/>
          <w:b/>
        </w:rPr>
        <w:t xml:space="preserve">Advance Payment:</w:t>
      </w:r>
      <w:r>
        <w:t xml:space="preserve"> </w:t>
      </w:r>
      <w:r>
        <w:t xml:space="preserve">30% of the total</w:t>
      </w:r>
      <w:r>
        <w:t xml:space="preserve"> </w:t>
      </w:r>
      <w:r>
        <w:t xml:space="preserve">Purchase Order</w:t>
      </w:r>
      <w:r>
        <w:t xml:space="preserve"> </w:t>
      </w:r>
      <w:r>
        <w:t xml:space="preserve">value (93,990,000 IRR) shall be paid within five (5) business days of the signed</w:t>
      </w:r>
      <w:r>
        <w:t xml:space="preserve"> </w:t>
      </w:r>
      <w:r>
        <w:t xml:space="preserve">Purchase Order</w:t>
      </w:r>
      <w:r>
        <w:t xml:space="preserve"> </w:t>
      </w:r>
      <w:r>
        <w:t xml:space="preserve">via bank transfer to the</w:t>
      </w:r>
      <w:r>
        <w:t xml:space="preserve"> </w:t>
      </w:r>
      <w:r>
        <w:t xml:space="preserve">UX UI Designer</w:t>
      </w:r>
      <w:r>
        <w:t xml:space="preserve">'s designated account in Tehran, Iran.</w:t>
      </w:r>
    </w:p>
    <w:p>
      <w:pPr>
        <w:numPr>
          <w:ilvl w:val="0"/>
          <w:numId w:val="1001"/>
        </w:numPr>
        <w:pStyle w:val="Compact"/>
      </w:pPr>
      <w:r>
        <w:rPr>
          <w:bCs/>
          <w:b/>
        </w:rPr>
        <w:t xml:space="preserve">Milestone Payment 1:</w:t>
      </w:r>
      <w:r>
        <w:t xml:space="preserve"> </w:t>
      </w:r>
      <w:r>
        <w:t xml:space="preserve">25% (78,325,000 IRR) upon approval of wireframes and information architecture deliverables.</w:t>
      </w:r>
    </w:p>
    <w:p>
      <w:pPr>
        <w:numPr>
          <w:ilvl w:val="0"/>
          <w:numId w:val="1001"/>
        </w:numPr>
        <w:pStyle w:val="Compact"/>
      </w:pPr>
      <w:r>
        <w:rPr>
          <w:bCs/>
          <w:b/>
        </w:rPr>
        <w:t xml:space="preserve">Milestone Payment 2:</w:t>
      </w:r>
      <w:r>
        <w:t xml:space="preserve"> </w:t>
      </w:r>
      <w:r>
        <w:t xml:space="preserve">25% (78,325,000 IRR) upon delivery of the high-fidelity UI design system and interactive prototype.</w:t>
      </w:r>
    </w:p>
    <w:p>
      <w:pPr>
        <w:numPr>
          <w:ilvl w:val="0"/>
          <w:numId w:val="1001"/>
        </w:numPr>
        <w:pStyle w:val="Compact"/>
      </w:pPr>
      <w:r>
        <w:rPr>
          <w:bCs/>
          <w:b/>
        </w:rPr>
        <w:t xml:space="preserve">Final Payment:</w:t>
      </w:r>
      <w:r>
        <w:t xml:space="preserve"> </w:t>
      </w:r>
      <w:r>
        <w:t xml:space="preserve">20% (62,660,000 IRR) upon completion of developer handoff and the conclusion of the 30-day post-launch support period.</w:t>
      </w:r>
    </w:p>
    <w:p>
      <w:pPr>
        <w:numPr>
          <w:ilvl w:val="0"/>
          <w:numId w:val="1001"/>
        </w:numPr>
        <w:pStyle w:val="Compact"/>
      </w:pPr>
      <w:r>
        <w:t xml:space="preserve">All payments shall be made in Iranian Rials (IRR) to the following account: Bank Melli Iran, Branch: Tehran Valiasr, Account No: 010-4587-2361-9, SWIFT: MELLIRIT.</w:t>
      </w:r>
    </w:p>
    <w:p>
      <w:pPr>
        <w:numPr>
          <w:ilvl w:val="0"/>
          <w:numId w:val="1001"/>
        </w:numPr>
        <w:pStyle w:val="Compact"/>
      </w:pPr>
      <w:r>
        <w:t xml:space="preserve">Late payments shall incur a penalty of 0.5% per day as stipulated under Iranian commercial law.</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the parties and supersedes all prior negotiations, representations, or agreements relating to the engagement of the</w:t>
      </w:r>
      <w:r>
        <w:t xml:space="preserve"> </w:t>
      </w:r>
      <w:r>
        <w:t xml:space="preserve">UX UI Designer</w:t>
      </w:r>
      <w:r>
        <w:t xml:space="preserve">.</w:t>
      </w:r>
    </w:p>
    <w:p>
      <w:pPr>
        <w:numPr>
          <w:ilvl w:val="0"/>
          <w:numId w:val="1002"/>
        </w:numPr>
        <w:pStyle w:val="Compact"/>
      </w:pPr>
      <w:r>
        <w:t xml:space="preserve">The</w:t>
      </w:r>
      <w:r>
        <w:t xml:space="preserve"> </w:t>
      </w:r>
      <w:r>
        <w:t xml:space="preserve">UX UI Designer</w:t>
      </w:r>
      <w:r>
        <w:t xml:space="preserve"> </w:t>
      </w:r>
      <w:r>
        <w:t xml:space="preserve">shall maintain full confidentiality of all proprietary information, user data, and business strategies of Tehran Digital Solutions Co., Ltd. in accordance with the data protection regulations applicable in</w:t>
      </w:r>
      <w:r>
        <w:t xml:space="preserve"> </w:t>
      </w:r>
      <w:r>
        <w:t xml:space="preserve">Iran Tehran</w:t>
      </w:r>
      <w:r>
        <w:t xml:space="preserve">.</w:t>
      </w:r>
    </w:p>
    <w:p>
      <w:pPr>
        <w:numPr>
          <w:ilvl w:val="0"/>
          <w:numId w:val="1002"/>
        </w:numPr>
        <w:pStyle w:val="Compact"/>
      </w:pPr>
      <w:r>
        <w:t xml:space="preserve">All intellectual property rights in the final deliverables shall transfer to the buyer upon full payment. The</w:t>
      </w:r>
      <w:r>
        <w:t xml:space="preserve"> </w:t>
      </w:r>
      <w:r>
        <w:t xml:space="preserve">UX UI Designer</w:t>
      </w:r>
      <w:r>
        <w:t xml:space="preserve"> </w:t>
      </w:r>
      <w:r>
        <w:t xml:space="preserve">retains the right to display completed work in a professional portfolio, subject to a 90-day embargo period.</w:t>
      </w:r>
    </w:p>
    <w:p>
      <w:pPr>
        <w:numPr>
          <w:ilvl w:val="0"/>
          <w:numId w:val="1002"/>
        </w:numPr>
        <w:pStyle w:val="Compact"/>
      </w:pPr>
      <w:r>
        <w:t xml:space="preserve">The</w:t>
      </w:r>
      <w:r>
        <w:t xml:space="preserve"> </w:t>
      </w:r>
      <w:r>
        <w:t xml:space="preserve">UX UI Designer</w:t>
      </w:r>
      <w:r>
        <w:t xml:space="preserve"> </w:t>
      </w:r>
      <w:r>
        <w:t xml:space="preserve">is engaged as an independent contractor and not as an employee of the buyer. The</w:t>
      </w:r>
      <w:r>
        <w:t xml:space="preserve"> </w:t>
      </w:r>
      <w:r>
        <w:t xml:space="preserve">UX UI Designer</w:t>
      </w:r>
      <w:r>
        <w:t xml:space="preserve"> </w:t>
      </w:r>
      <w:r>
        <w:t xml:space="preserve">is responsible for all personal tax obligations in the Islamic Republic of Iran.</w:t>
      </w:r>
    </w:p>
    <w:p>
      <w:pPr>
        <w:numPr>
          <w:ilvl w:val="0"/>
          <w:numId w:val="1002"/>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 buyer shall pay for all work completed up to the termination date.</w:t>
      </w:r>
    </w:p>
    <w:p>
      <w:pPr>
        <w:numPr>
          <w:ilvl w:val="0"/>
          <w:numId w:val="1002"/>
        </w:numPr>
        <w:pStyle w:val="Compact"/>
      </w:pPr>
      <w:r>
        <w:t xml:space="preserve">All disputes arising from this</w:t>
      </w:r>
      <w:r>
        <w:t xml:space="preserve"> </w:t>
      </w:r>
      <w:r>
        <w:t xml:space="preserve">Purchase Order</w:t>
      </w:r>
      <w:r>
        <w:t xml:space="preserve"> </w:t>
      </w:r>
      <w:r>
        <w:t xml:space="preserve">shall be resolved through arbitration in Tehran, Iran, in accordance with the rules of the Tehran Regional Arbitration Center (TRAC).</w:t>
      </w:r>
    </w:p>
    <w:p>
      <w:pPr>
        <w:numPr>
          <w:ilvl w:val="0"/>
          <w:numId w:val="1002"/>
        </w:numPr>
        <w:pStyle w:val="Compact"/>
      </w:pPr>
      <w:r>
        <w:t xml:space="preserve">The</w:t>
      </w:r>
      <w:r>
        <w:t xml:space="preserve"> </w:t>
      </w:r>
      <w:r>
        <w:t xml:space="preserve">UX UI Designer</w:t>
      </w:r>
      <w:r>
        <w:t xml:space="preserve"> </w:t>
      </w:r>
      <w:r>
        <w:t xml:space="preserve">shall conduct all on-site meetings, usability testing sessions, and stakeholder presentations at the buyer's office located in Tehran, Iran, or at a mutually agreed location within the Tehran metropolitan area.</w:t>
      </w:r>
    </w:p>
    <w:p>
      <w:pPr>
        <w:numPr>
          <w:ilvl w:val="0"/>
          <w:numId w:val="1002"/>
        </w:numPr>
        <w:pStyle w:val="Compact"/>
      </w:pPr>
      <w:r>
        <w:t xml:space="preserve">This</w:t>
      </w:r>
      <w:r>
        <w:t xml:space="preserve"> </w:t>
      </w:r>
      <w:r>
        <w:t xml:space="preserve">Purchase Order</w:t>
      </w:r>
      <w:r>
        <w:t xml:space="preserve"> </w:t>
      </w:r>
      <w:r>
        <w:t xml:space="preserve">is valid for a period of one hundred ninety-five (195) days from the date of issue. If not executed within this period, a new</w:t>
      </w:r>
      <w:r>
        <w:t xml:space="preserve"> </w:t>
      </w:r>
      <w:r>
        <w:t xml:space="preserve">Purchase Order</w:t>
      </w:r>
      <w:r>
        <w:t xml:space="preserve"> </w:t>
      </w:r>
      <w:r>
        <w:t xml:space="preserve">must be generated.</w:t>
      </w:r>
    </w:p>
    <w:bookmarkEnd w:id="25"/>
    <w:bookmarkStart w:id="26" w:name="acceptance-and-signatures"/>
    <w:p>
      <w:pPr>
        <w:pStyle w:val="Heading2"/>
      </w:pPr>
      <w:r>
        <w:t xml:space="preserve">6. Acceptance and Signatures</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the</w:t>
      </w:r>
      <w:r>
        <w:t xml:space="preserve"> </w:t>
      </w:r>
      <w:r>
        <w:t xml:space="preserve">UX UI Designer</w:t>
      </w:r>
      <w:r>
        <w:t xml:space="preserve"> </w:t>
      </w:r>
      <w:r>
        <w:t xml:space="preserve">in</w:t>
      </w:r>
      <w:r>
        <w:t xml:space="preserve"> </w:t>
      </w:r>
      <w:r>
        <w:t xml:space="preserve">Iran Tehran</w:t>
      </w:r>
      <w:r>
        <w:t xml:space="preserve">.</w:t>
      </w:r>
    </w:p>
    <w:p>
      <w:pPr>
        <w:pStyle w:val="BodyText"/>
      </w:pPr>
      <w:r>
        <w:rPr>
          <w:bCs/>
          <w:b/>
        </w:rPr>
        <w:t xml:space="preserve">For Tehran Digital Solutions Co., Ltd. (Buyer)</w:t>
      </w:r>
      <w:r>
        <w:br/>
      </w:r>
      <w:r>
        <w:t xml:space="preserve">Name: Saeed Mohammadi</w:t>
      </w:r>
      <w:r>
        <w:br/>
      </w:r>
      <w:r>
        <w:t xml:space="preserve">Title: Chief Procurement Officer</w:t>
      </w:r>
      <w:r>
        <w:br/>
      </w:r>
      <w:r>
        <w:t xml:space="preserve">Signature: _________________________</w:t>
      </w:r>
      <w:r>
        <w:br/>
      </w:r>
      <w:r>
        <w:t xml:space="preserve">Date: _______________</w:t>
      </w:r>
    </w:p>
    <w:p>
      <w:pPr>
        <w:pStyle w:val="BodyText"/>
      </w:pPr>
      <w:r>
        <w:rPr>
          <w:bCs/>
          <w:b/>
        </w:rPr>
        <w:t xml:space="preserve">For the UX UI Designer (Seller)</w:t>
      </w:r>
      <w:r>
        <w:br/>
      </w:r>
      <w:r>
        <w:t xml:space="preserve">Name: Amir Hossein Karimi</w:t>
      </w:r>
      <w:r>
        <w:br/>
      </w:r>
      <w:r>
        <w:t xml:space="preserve">Title: Lead UX UI Designer</w:t>
      </w:r>
      <w:r>
        <w:br/>
      </w:r>
      <w:r>
        <w:t xml:space="preserve">Signature: _________________________</w:t>
      </w:r>
      <w:r>
        <w:br/>
      </w:r>
      <w:r>
        <w:t xml:space="preserve">Date: _______________</w:t>
      </w:r>
    </w:p>
    <w:bookmarkEnd w:id="26"/>
    <w:p>
      <w:pPr>
        <w:pStyle w:val="BodyText"/>
      </w:pPr>
      <w:r>
        <w:t xml:space="preserve">This Purchase Order (PO No: IR-THN-2025-04782) was issued in Iran Tehran and is governed by the Commercial Code of the Islamic Republic of Iran. This document is valid only when signed by both authorized representatives. Unauthorized reproduction or distribution of this Purchase Order is strictly prohibited.</w:t>
      </w:r>
    </w:p>
    <w:p>
      <w:pPr>
        <w:pStyle w:val="BodyText"/>
      </w:pPr>
      <w:r>
        <w:t xml:space="preserve">Document Version: 1.0 | Generated: 15 June 2025 | Classification: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Iran Tehran</dc:title>
  <dc:creator/>
  <dc:language>en</dc:language>
  <cp:keywords/>
  <dcterms:created xsi:type="dcterms:W3CDTF">2026-10-10T08:00:07Z</dcterms:created>
  <dcterms:modified xsi:type="dcterms:W3CDTF">2026-10-10T08:00:07Z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