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po-2025-kl-0047"/>
    <w:p>
      <w:pPr>
        <w:pStyle w:val="Heading1"/>
      </w:pPr>
      <w:r>
        <w:t xml:space="preserve">PURCHASE ORDER</w:t>
      </w:r>
      <w:r>
        <w:t xml:space="preserve"> </w:t>
      </w:r>
      <w:r>
        <w:t xml:space="preserve">PO-2025-KL-0047</w:t>
      </w:r>
    </w:p>
    <w:p>
      <w:pPr>
        <w:pStyle w:val="FirstParagraph"/>
      </w:pPr>
      <w:r>
        <w:t xml:space="preserve">Professional Services Procurement — UX UI Designer Engagement — Malaysia Kuala Lumpur</w:t>
      </w:r>
    </w:p>
    <w:bookmarkEnd w:id="20"/>
    <w:p>
      <w:pPr>
        <w:pStyle w:val="BodyText"/>
      </w:pPr>
      <w:r>
        <w:rPr>
          <w:bCs/>
          <w:b/>
        </w:rPr>
        <w:t xml:space="preserve">Purchase Order No.:</w:t>
      </w:r>
      <w:r>
        <w:t xml:space="preserve"> </w:t>
      </w:r>
      <w:r>
        <w:t xml:space="preserve">PO-2025-KL-0047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Malaysian Ringgit (MYR)</w:t>
      </w:r>
      <w:r>
        <w:br/>
      </w:r>
      <w:r>
        <w:rPr>
          <w:bCs/>
          <w:b/>
        </w:rPr>
        <w:t xml:space="preserve">Incoterms:</w:t>
      </w:r>
      <w:r>
        <w:t xml:space="preserve"> </w:t>
      </w:r>
      <w:r>
        <w:t xml:space="preserve">N/A (Services)</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Buyer (Client)</w:t>
            </w:r>
          </w:p>
        </w:tc>
        <w:tc>
          <w:tcPr/>
          <w:p>
            <w:pPr>
              <w:pStyle w:val="Compact"/>
              <w:jc w:val="left"/>
            </w:pPr>
            <w:r>
              <w:t xml:space="preserve">Meridian Digital Solutions Sdn. Bhd.</w:t>
            </w:r>
          </w:p>
        </w:tc>
        <w:tc>
          <w:tcPr/>
          <w:p>
            <w:pPr>
              <w:pStyle w:val="Compact"/>
              <w:jc w:val="left"/>
            </w:pPr>
            <w:r>
              <w:t xml:space="preserve">Level 22, Menara Maxis, Jalan Tun Razak, 50400 Kuala Lumpur, Malaysia</w:t>
            </w:r>
            <w:r>
              <w:br/>
            </w:r>
            <w:r>
              <w:t xml:space="preserve">Tel: +603-2181 8888</w:t>
            </w:r>
            <w:r>
              <w:br/>
            </w:r>
            <w:r>
              <w:t xml:space="preserve">Email: procurement@meridiandigital.my</w:t>
            </w:r>
          </w:p>
        </w:tc>
      </w:tr>
      <w:tr>
        <w:tc>
          <w:tcPr/>
          <w:p>
            <w:pPr>
              <w:pStyle w:val="Compact"/>
              <w:jc w:val="left"/>
            </w:pPr>
            <w:r>
              <w:rPr>
                <w:bCs/>
                <w:b/>
              </w:rPr>
              <w:t xml:space="preserve">Supplier (Service Provider)</w:t>
            </w:r>
          </w:p>
        </w:tc>
        <w:tc>
          <w:tcPr/>
          <w:p>
            <w:pPr>
              <w:pStyle w:val="Compact"/>
              <w:jc w:val="left"/>
            </w:pPr>
            <w:r>
              <w:t xml:space="preserve">PixelCraft Design Studio Sdn. Bhd.</w:t>
            </w:r>
          </w:p>
        </w:tc>
        <w:tc>
          <w:tcPr/>
          <w:p>
            <w:pPr>
              <w:pStyle w:val="Compact"/>
              <w:jc w:val="left"/>
            </w:pPr>
            <w:r>
              <w:t xml:space="preserve">Suite 1408, Level 14, The Exchange TRX, Persiaran TRX 2, 50250 Kuala Lumpur, Malaysia</w:t>
            </w:r>
            <w:r>
              <w:br/>
            </w:r>
            <w:r>
              <w:t xml:space="preserve">Tel: +603-2273 5500</w:t>
            </w:r>
            <w:r>
              <w:br/>
            </w:r>
            <w:r>
              <w:t xml:space="preserve">Email: accounts@pixelcraftdesign.my</w:t>
            </w:r>
          </w:p>
        </w:tc>
      </w:tr>
    </w:tbl>
    <w:bookmarkEnd w:id="21"/>
    <w:bookmarkStart w:id="22" w:name="description-of-services-ux-ui-designer"/>
    <w:p>
      <w:pPr>
        <w:pStyle w:val="Heading2"/>
      </w:pPr>
      <w:r>
        <w:t xml:space="preserve">2. Description of Services — UX UI Designer</w:t>
      </w:r>
    </w:p>
    <w:p>
      <w:pPr>
        <w:pStyle w:val="FirstParagraph"/>
      </w:pPr>
      <w:r>
        <w:t xml:space="preserve">This</w:t>
      </w:r>
      <w:r>
        <w:t xml:space="preserve"> </w:t>
      </w:r>
      <w:r>
        <w:t xml:space="preserve">Purchase Order</w:t>
      </w:r>
      <w:r>
        <w:t xml:space="preserve"> </w:t>
      </w:r>
      <w:r>
        <w:t xml:space="preserve">is issued by Meridian Digital Solutions Sdn. Bhd. to formally engage the services of a qualified</w:t>
      </w:r>
      <w:r>
        <w:t xml:space="preserve"> </w:t>
      </w:r>
      <w:r>
        <w:t xml:space="preserve">UX UI Designer</w:t>
      </w:r>
      <w:r>
        <w:t xml:space="preserve"> </w:t>
      </w:r>
      <w:r>
        <w:t xml:space="preserve">through PixelCraft Design Studio Sdn. Bhd. The engagement is to be carried out in</w:t>
      </w:r>
      <w:r>
        <w:t xml:space="preserve"> </w:t>
      </w:r>
      <w:r>
        <w:t xml:space="preserve">Malaysia Kuala Lumpur</w:t>
      </w:r>
      <w:r>
        <w:t xml:space="preserve">, and all deliverables, meetings, and on-site activities shall take place at the Buyer's premises located in Kuala Lumpur or at mutually agreed locations within the Kuala Lumpur metropolitan area.</w:t>
      </w:r>
    </w:p>
    <w:p>
      <w:pPr>
        <w:pStyle w:val="BodyText"/>
      </w:pPr>
      <w:r>
        <w:t xml:space="preserve">The</w:t>
      </w:r>
      <w:r>
        <w:t xml:space="preserve"> </w:t>
      </w:r>
      <w:r>
        <w:t xml:space="preserve">UX UI Designer</w:t>
      </w:r>
      <w:r>
        <w:t xml:space="preserve"> </w:t>
      </w:r>
      <w:r>
        <w:t xml:space="preserve">shall be responsible for the end-to-end design of the Buyer's enterprise customer portal, including but not limited to user research, information architecture, wireframing, visual interface design, prototyping, usability testing, and the production of a comprehensive design system. The</w:t>
      </w:r>
      <w:r>
        <w:t xml:space="preserve"> </w:t>
      </w:r>
      <w:r>
        <w:t xml:space="preserve">UX UI Designer</w:t>
      </w:r>
      <w:r>
        <w:t xml:space="preserve"> </w:t>
      </w:r>
      <w:r>
        <w:t xml:space="preserve">must demonstrate a minimum of seven (7) years of professional experience in user experience and user interface design, with a proven portfolio of enterprise-grade digital products delivered in the</w:t>
      </w:r>
      <w:r>
        <w:t xml:space="preserve"> </w:t>
      </w:r>
      <w:r>
        <w:t xml:space="preserve">Malaysia Kuala Lumpur</w:t>
      </w:r>
      <w:r>
        <w:t xml:space="preserve"> </w:t>
      </w:r>
      <w:r>
        <w:t xml:space="preserve">market or equivalent Southeast Asian markets.</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w:t>
            </w:r>
          </w:p>
        </w:tc>
        <w:tc>
          <w:tcPr/>
          <w:p>
            <w:pPr>
              <w:pStyle w:val="Compact"/>
              <w:jc w:val="left"/>
            </w:pPr>
            <w:r>
              <w:t xml:space="preserve">Timeline</w:t>
            </w:r>
          </w:p>
        </w:tc>
        <w:tc>
          <w:tcPr/>
          <w:p>
            <w:pPr>
              <w:pStyle w:val="Compact"/>
              <w:jc w:val="left"/>
            </w:pPr>
            <w:r>
              <w:t xml:space="preserve">Location</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User Research &amp; Competitive Analysis Report (minimum 30 stakeholder interviews conducted in Malaysia Kuala Lumpur)</w:t>
            </w:r>
          </w:p>
        </w:tc>
        <w:tc>
          <w:tcPr/>
          <w:p>
            <w:pPr>
              <w:pStyle w:val="Compact"/>
              <w:jc w:val="left"/>
            </w:pPr>
            <w:r>
              <w:t xml:space="preserve">Weeks 1–3</w:t>
            </w:r>
          </w:p>
        </w:tc>
        <w:tc>
          <w:tcPr/>
          <w:p>
            <w:pPr>
              <w:pStyle w:val="Compact"/>
              <w:jc w:val="left"/>
            </w:pPr>
            <w:r>
              <w:t xml:space="preserve">Kuala Lumpur, Malaysia</w:t>
            </w:r>
          </w:p>
        </w:tc>
        <w:tc>
          <w:tcPr/>
          <w:p>
            <w:pPr>
              <w:pStyle w:val="Compact"/>
              <w:jc w:val="left"/>
            </w:pPr>
            <w:r>
              <w:t xml:space="preserve">RM 18,500.00</w:t>
            </w:r>
          </w:p>
        </w:tc>
      </w:tr>
      <w:tr>
        <w:tc>
          <w:tcPr/>
          <w:p>
            <w:pPr>
              <w:pStyle w:val="Compact"/>
              <w:jc w:val="left"/>
            </w:pPr>
            <w:r>
              <w:t xml:space="preserve">2</w:t>
            </w:r>
          </w:p>
        </w:tc>
        <w:tc>
          <w:tcPr/>
          <w:p>
            <w:pPr>
              <w:pStyle w:val="Compact"/>
              <w:jc w:val="left"/>
            </w:pPr>
            <w:r>
              <w:t xml:space="preserve">Information Architecture &amp; User Flow Diagrams</w:t>
            </w:r>
          </w:p>
        </w:tc>
        <w:tc>
          <w:tcPr/>
          <w:p>
            <w:pPr>
              <w:pStyle w:val="Compact"/>
              <w:jc w:val="left"/>
            </w:pPr>
            <w:r>
              <w:t xml:space="preserve">Weeks 4–5</w:t>
            </w:r>
          </w:p>
        </w:tc>
        <w:tc>
          <w:tcPr/>
          <w:p>
            <w:pPr>
              <w:pStyle w:val="Compact"/>
              <w:jc w:val="left"/>
            </w:pPr>
            <w:r>
              <w:t xml:space="preserve">Kuala Lumpur, Malaysia</w:t>
            </w:r>
          </w:p>
        </w:tc>
        <w:tc>
          <w:tcPr/>
          <w:p>
            <w:pPr>
              <w:pStyle w:val="Compact"/>
              <w:jc w:val="left"/>
            </w:pPr>
            <w:r>
              <w:t xml:space="preserve">RM 12,000.00</w:t>
            </w:r>
          </w:p>
        </w:tc>
      </w:tr>
      <w:tr>
        <w:tc>
          <w:tcPr/>
          <w:p>
            <w:pPr>
              <w:pStyle w:val="Compact"/>
              <w:jc w:val="left"/>
            </w:pPr>
            <w:r>
              <w:t xml:space="preserve">3</w:t>
            </w:r>
          </w:p>
        </w:tc>
        <w:tc>
          <w:tcPr/>
          <w:p>
            <w:pPr>
              <w:pStyle w:val="Compact"/>
              <w:jc w:val="left"/>
            </w:pPr>
            <w:r>
              <w:t xml:space="preserve">Low-Fidelity Wireframes (all key screens, minimum 45 screens)</w:t>
            </w:r>
          </w:p>
        </w:tc>
        <w:tc>
          <w:tcPr/>
          <w:p>
            <w:pPr>
              <w:pStyle w:val="Compact"/>
              <w:jc w:val="left"/>
            </w:pPr>
            <w:r>
              <w:t xml:space="preserve">Weeks 6–8</w:t>
            </w:r>
          </w:p>
        </w:tc>
        <w:tc>
          <w:tcPr/>
          <w:p>
            <w:pPr>
              <w:pStyle w:val="Compact"/>
              <w:jc w:val="left"/>
            </w:pPr>
            <w:r>
              <w:t xml:space="preserve">Kuala Lumpur, Malaysia</w:t>
            </w:r>
          </w:p>
        </w:tc>
        <w:tc>
          <w:tcPr/>
          <w:p>
            <w:pPr>
              <w:pStyle w:val="Compact"/>
              <w:jc w:val="left"/>
            </w:pPr>
            <w:r>
              <w:t xml:space="preserve">RM 15,750.00</w:t>
            </w:r>
          </w:p>
        </w:tc>
      </w:tr>
      <w:tr>
        <w:tc>
          <w:tcPr/>
          <w:p>
            <w:pPr>
              <w:pStyle w:val="Compact"/>
              <w:jc w:val="left"/>
            </w:pPr>
            <w:r>
              <w:t xml:space="preserve">4</w:t>
            </w:r>
          </w:p>
        </w:tc>
        <w:tc>
          <w:tcPr/>
          <w:p>
            <w:pPr>
              <w:pStyle w:val="Compact"/>
              <w:jc w:val="left"/>
            </w:pPr>
            <w:r>
              <w:t xml:space="preserve">High-Fidelity UI Mockups &amp; Interactive Prototype (Figma)</w:t>
            </w:r>
          </w:p>
        </w:tc>
        <w:tc>
          <w:tcPr/>
          <w:p>
            <w:pPr>
              <w:pStyle w:val="Compact"/>
              <w:jc w:val="left"/>
            </w:pPr>
            <w:r>
              <w:t xml:space="preserve">Weeks 9–12</w:t>
            </w:r>
          </w:p>
        </w:tc>
        <w:tc>
          <w:tcPr/>
          <w:p>
            <w:pPr>
              <w:pStyle w:val="Compact"/>
              <w:jc w:val="left"/>
            </w:pPr>
            <w:r>
              <w:t xml:space="preserve">Kuala Lumpur, Malaysia</w:t>
            </w:r>
          </w:p>
        </w:tc>
        <w:tc>
          <w:tcPr/>
          <w:p>
            <w:pPr>
              <w:pStyle w:val="Compact"/>
              <w:jc w:val="left"/>
            </w:pPr>
            <w:r>
              <w:t xml:space="preserve">RM 28,000.00</w:t>
            </w:r>
          </w:p>
        </w:tc>
      </w:tr>
      <w:tr>
        <w:tc>
          <w:tcPr/>
          <w:p>
            <w:pPr>
              <w:pStyle w:val="Compact"/>
              <w:jc w:val="left"/>
            </w:pPr>
            <w:r>
              <w:t xml:space="preserve">5</w:t>
            </w:r>
          </w:p>
        </w:tc>
        <w:tc>
          <w:tcPr/>
          <w:p>
            <w:pPr>
              <w:pStyle w:val="Compact"/>
              <w:jc w:val="left"/>
            </w:pPr>
            <w:r>
              <w:t xml:space="preserve">Usability Testing (minimum 2 rounds, 12 participants per round, recruited locally in Malaysia Kuala Lumpur)</w:t>
            </w:r>
          </w:p>
        </w:tc>
        <w:tc>
          <w:tcPr/>
          <w:p>
            <w:pPr>
              <w:pStyle w:val="Compact"/>
              <w:jc w:val="left"/>
            </w:pPr>
            <w:r>
              <w:t xml:space="preserve">Weeks 13–15</w:t>
            </w:r>
          </w:p>
        </w:tc>
        <w:tc>
          <w:tcPr/>
          <w:p>
            <w:pPr>
              <w:pStyle w:val="Compact"/>
              <w:jc w:val="left"/>
            </w:pPr>
            <w:r>
              <w:t xml:space="preserve">Kuala Lumpur, Malaysia</w:t>
            </w:r>
          </w:p>
        </w:tc>
        <w:tc>
          <w:tcPr/>
          <w:p>
            <w:pPr>
              <w:pStyle w:val="Compact"/>
              <w:jc w:val="left"/>
            </w:pPr>
            <w:r>
              <w:t xml:space="preserve">RM 14,250.00</w:t>
            </w:r>
          </w:p>
        </w:tc>
      </w:tr>
      <w:tr>
        <w:tc>
          <w:tcPr/>
          <w:p>
            <w:pPr>
              <w:pStyle w:val="Compact"/>
              <w:jc w:val="left"/>
            </w:pPr>
            <w:r>
              <w:t xml:space="preserve">6</w:t>
            </w:r>
          </w:p>
        </w:tc>
        <w:tc>
          <w:tcPr/>
          <w:p>
            <w:pPr>
              <w:pStyle w:val="Compact"/>
              <w:jc w:val="left"/>
            </w:pPr>
            <w:r>
              <w:t xml:space="preserve">Design System Documentation &amp; Developer Handoff Package</w:t>
            </w:r>
          </w:p>
        </w:tc>
        <w:tc>
          <w:tcPr/>
          <w:p>
            <w:pPr>
              <w:pStyle w:val="Compact"/>
              <w:jc w:val="left"/>
            </w:pPr>
            <w:r>
              <w:t xml:space="preserve">Weeks 16–18</w:t>
            </w:r>
          </w:p>
        </w:tc>
        <w:tc>
          <w:tcPr/>
          <w:p>
            <w:pPr>
              <w:pStyle w:val="Compact"/>
              <w:jc w:val="left"/>
            </w:pPr>
            <w:r>
              <w:t xml:space="preserve">Kuala Lumpur, Malaysia</w:t>
            </w:r>
          </w:p>
        </w:tc>
        <w:tc>
          <w:tcPr/>
          <w:p>
            <w:pPr>
              <w:pStyle w:val="Compact"/>
              <w:jc w:val="left"/>
            </w:pPr>
            <w:r>
              <w:t xml:space="preserve">RM 16,500.00</w:t>
            </w:r>
          </w:p>
        </w:tc>
      </w:tr>
      <w:tr>
        <w:tc>
          <w:tcPr/>
          <w:p>
            <w:pPr>
              <w:pStyle w:val="Compact"/>
              <w:jc w:val="left"/>
            </w:pPr>
            <w:r>
              <w:t xml:space="preserve">7</w:t>
            </w:r>
          </w:p>
        </w:tc>
        <w:tc>
          <w:tcPr/>
          <w:p>
            <w:pPr>
              <w:pStyle w:val="Compact"/>
              <w:jc w:val="left"/>
            </w:pPr>
            <w:r>
              <w:t xml:space="preserve">Post-Launch Design Support &amp; Iteration (3 months)</w:t>
            </w:r>
          </w:p>
        </w:tc>
        <w:tc>
          <w:tcPr/>
          <w:p>
            <w:pPr>
              <w:pStyle w:val="Compact"/>
              <w:jc w:val="left"/>
            </w:pPr>
            <w:r>
              <w:t xml:space="preserve">Weeks 19–31</w:t>
            </w:r>
          </w:p>
        </w:tc>
        <w:tc>
          <w:tcPr/>
          <w:p>
            <w:pPr>
              <w:pStyle w:val="Compact"/>
              <w:jc w:val="left"/>
            </w:pPr>
            <w:r>
              <w:t xml:space="preserve">Remote / Kuala Lumpur</w:t>
            </w:r>
          </w:p>
        </w:tc>
        <w:tc>
          <w:tcPr/>
          <w:p>
            <w:pPr>
              <w:pStyle w:val="Compact"/>
              <w:jc w:val="left"/>
            </w:pPr>
            <w:r>
              <w:t xml:space="preserve">RM 22,000.00</w:t>
            </w:r>
          </w:p>
        </w:tc>
      </w:tr>
      <w:tr>
        <w:tc>
          <w:tcPr>
            <w:gridSpan w:val="4"/>
          </w:tcPr>
          <w:p>
            <w:pPr>
              <w:pStyle w:val="Compact"/>
              <w:jc w:val="right"/>
            </w:pPr>
            <w:r>
              <w:t xml:space="preserve">TOTAL CONTRACT VALUE</w:t>
            </w:r>
          </w:p>
        </w:tc>
        <w:tc>
          <w:tcPr/>
          <w:p>
            <w:pPr>
              <w:pStyle w:val="Compact"/>
              <w:jc w:val="left"/>
            </w:pPr>
            <w:r>
              <w:t xml:space="preserve">RM 127,000.00</w:t>
            </w:r>
          </w:p>
        </w:tc>
      </w:tr>
    </w:tbl>
    <w:bookmarkEnd w:id="23"/>
    <w:bookmarkStart w:id="24" w:name="payment-schedule"/>
    <w:p>
      <w:pPr>
        <w:pStyle w:val="Heading2"/>
      </w:pPr>
      <w:r>
        <w:t xml:space="preserve">4. Payment Schedule</w:t>
      </w:r>
    </w:p>
    <w:p>
      <w:pPr>
        <w:pStyle w:val="FirstParagraph"/>
      </w:pPr>
      <w:r>
        <w:t xml:space="preserve">Payment against this</w:t>
      </w:r>
      <w:r>
        <w:t xml:space="preserve"> </w:t>
      </w:r>
      <w:r>
        <w:t xml:space="preserve">Purchase Order</w:t>
      </w:r>
      <w:r>
        <w:t xml:space="preserve"> </w:t>
      </w:r>
      <w:r>
        <w:t xml:space="preserve">shall be made in accordance with the following milestones. All payments shall be processed in Malaysian Ringgit (MYR) via bank transfer to the Supplier's designated account. Invoices must reference the</w:t>
      </w:r>
      <w:r>
        <w:t xml:space="preserve"> </w:t>
      </w:r>
      <w:r>
        <w:t xml:space="preserve">Purchase Order</w:t>
      </w:r>
      <w:r>
        <w:t xml:space="preserve"> </w:t>
      </w:r>
      <w:r>
        <w:t xml:space="preserve">number PO-2025-KL-0047.</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(MYR)</w:t>
            </w:r>
          </w:p>
        </w:tc>
        <w:tc>
          <w:tcPr/>
          <w:p>
            <w:pPr>
              <w:pStyle w:val="Compact"/>
              <w:jc w:val="left"/>
            </w:pPr>
            <w:r>
              <w:t xml:space="preserve">Due Date</w:t>
            </w:r>
          </w:p>
        </w:tc>
      </w:tr>
      <w:tr>
        <w:tc>
          <w:tcPr/>
          <w:p>
            <w:pPr>
              <w:pStyle w:val="Compact"/>
              <w:jc w:val="left"/>
            </w:pPr>
            <w:r>
              <w:t xml:space="preserve">Contract Execution &amp; Kick-off</w:t>
            </w:r>
          </w:p>
        </w:tc>
        <w:tc>
          <w:tcPr/>
          <w:p>
            <w:pPr>
              <w:pStyle w:val="Compact"/>
              <w:jc w:val="left"/>
            </w:pPr>
            <w:r>
              <w:t xml:space="preserve">20%</w:t>
            </w:r>
          </w:p>
        </w:tc>
        <w:tc>
          <w:tcPr/>
          <w:p>
            <w:pPr>
              <w:pStyle w:val="Compact"/>
              <w:jc w:val="left"/>
            </w:pPr>
            <w:r>
              <w:t xml:space="preserve">RM 25,400.00</w:t>
            </w:r>
          </w:p>
        </w:tc>
        <w:tc>
          <w:tcPr/>
          <w:p>
            <w:pPr>
              <w:pStyle w:val="Compact"/>
              <w:jc w:val="left"/>
            </w:pPr>
            <w:r>
              <w:t xml:space="preserve">Upon signing</w:t>
            </w:r>
          </w:p>
        </w:tc>
      </w:tr>
      <w:tr>
        <w:tc>
          <w:tcPr/>
          <w:p>
            <w:pPr>
              <w:pStyle w:val="Compact"/>
              <w:jc w:val="left"/>
            </w:pPr>
            <w:r>
              <w:t xml:space="preserve">Completion of Wireframes (Deliverable 3)</w:t>
            </w:r>
          </w:p>
        </w:tc>
        <w:tc>
          <w:tcPr/>
          <w:p>
            <w:pPr>
              <w:pStyle w:val="Compact"/>
              <w:jc w:val="left"/>
            </w:pPr>
            <w:r>
              <w:t xml:space="preserve">25%</w:t>
            </w:r>
          </w:p>
        </w:tc>
        <w:tc>
          <w:tcPr/>
          <w:p>
            <w:pPr>
              <w:pStyle w:val="Compact"/>
              <w:jc w:val="left"/>
            </w:pPr>
            <w:r>
              <w:t xml:space="preserve">RM 31,750.00</w:t>
            </w:r>
          </w:p>
        </w:tc>
        <w:tc>
          <w:tcPr/>
          <w:p>
            <w:pPr>
              <w:pStyle w:val="Compact"/>
              <w:jc w:val="left"/>
            </w:pPr>
            <w:r>
              <w:t xml:space="preserve">End of Week 8</w:t>
            </w:r>
          </w:p>
        </w:tc>
      </w:tr>
      <w:tr>
        <w:tc>
          <w:tcPr/>
          <w:p>
            <w:pPr>
              <w:pStyle w:val="Compact"/>
              <w:jc w:val="left"/>
            </w:pPr>
            <w:r>
              <w:t xml:space="preserve">Completion of UI Mockups &amp; Prototype (Deliverable 4)</w:t>
            </w:r>
          </w:p>
        </w:tc>
        <w:tc>
          <w:tcPr/>
          <w:p>
            <w:pPr>
              <w:pStyle w:val="Compact"/>
              <w:jc w:val="left"/>
            </w:pPr>
            <w:r>
              <w:t xml:space="preserve">25%</w:t>
            </w:r>
          </w:p>
        </w:tc>
        <w:tc>
          <w:tcPr/>
          <w:p>
            <w:pPr>
              <w:pStyle w:val="Compact"/>
              <w:jc w:val="left"/>
            </w:pPr>
            <w:r>
              <w:t xml:space="preserve">RM 31,750.00</w:t>
            </w:r>
          </w:p>
        </w:tc>
        <w:tc>
          <w:tcPr/>
          <w:p>
            <w:pPr>
              <w:pStyle w:val="Compact"/>
              <w:jc w:val="left"/>
            </w:pPr>
            <w:r>
              <w:t xml:space="preserve">End of Week 12</w:t>
            </w:r>
          </w:p>
        </w:tc>
      </w:tr>
      <w:tr>
        <w:tc>
          <w:tcPr/>
          <w:p>
            <w:pPr>
              <w:pStyle w:val="Compact"/>
              <w:jc w:val="left"/>
            </w:pPr>
            <w:r>
              <w:t xml:space="preserve">Final Delivery &amp; Acceptance (Deliverables 5–7)</w:t>
            </w:r>
          </w:p>
        </w:tc>
        <w:tc>
          <w:tcPr/>
          <w:p>
            <w:pPr>
              <w:pStyle w:val="Compact"/>
              <w:jc w:val="left"/>
            </w:pPr>
            <w:r>
              <w:t xml:space="preserve">30%</w:t>
            </w:r>
          </w:p>
        </w:tc>
        <w:tc>
          <w:tcPr/>
          <w:p>
            <w:pPr>
              <w:pStyle w:val="Compact"/>
              <w:jc w:val="left"/>
            </w:pPr>
            <w:r>
              <w:t xml:space="preserve">RM 38,100.00</w:t>
            </w:r>
          </w:p>
        </w:tc>
        <w:tc>
          <w:tcPr/>
          <w:p>
            <w:pPr>
              <w:pStyle w:val="Compact"/>
              <w:jc w:val="left"/>
            </w:pPr>
            <w:r>
              <w:t xml:space="preserve">End of Week 31</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Malaysia. Any disputes arising from this engagement shall be resolved through arbitration in Kuala Lumpur, Malaysia, in accordance with the rules of the Asian International Arbitration Centre (AIAC).</w:t>
      </w:r>
    </w:p>
    <w:p>
      <w:pPr>
        <w:numPr>
          <w:ilvl w:val="0"/>
          <w:numId w:val="1001"/>
        </w:numPr>
        <w:pStyle w:val="Compact"/>
      </w:pPr>
      <w:r>
        <w:rPr>
          <w:bCs/>
          <w:b/>
        </w:rPr>
        <w:t xml:space="preserve">Intellectual Property:</w:t>
      </w:r>
      <w:r>
        <w:t xml:space="preserve"> </w:t>
      </w:r>
      <w:r>
        <w:t xml:space="preserve">Upon full payment, all work product, designs, prototypes, and documentation created by the</w:t>
      </w:r>
      <w:r>
        <w:t xml:space="preserve"> </w:t>
      </w:r>
      <w:r>
        <w:t xml:space="preserve">UX UI Designer</w:t>
      </w:r>
      <w:r>
        <w:t xml:space="preserve"> </w:t>
      </w:r>
      <w:r>
        <w:t xml:space="preserve">under this</w:t>
      </w:r>
      <w:r>
        <w:t xml:space="preserve"> </w:t>
      </w:r>
      <w:r>
        <w:t xml:space="preserve">Purchase Order</w:t>
      </w:r>
      <w:r>
        <w:t xml:space="preserve"> </w:t>
      </w:r>
      <w:r>
        <w:t xml:space="preserve">shall become the sole and exclusive property of Meridian Digital Solutions Sdn. Bhd. The</w:t>
      </w:r>
      <w:r>
        <w:t xml:space="preserve"> </w:t>
      </w:r>
      <w:r>
        <w:t xml:space="preserve">UX UI Designer</w:t>
      </w:r>
      <w:r>
        <w:t xml:space="preserve"> </w:t>
      </w:r>
      <w:r>
        <w:t xml:space="preserve">retains the right to display the work in a professional portfolio, subject to a 90-day embargo period from final delivery.</w:t>
      </w:r>
    </w:p>
    <w:p>
      <w:pPr>
        <w:numPr>
          <w:ilvl w:val="0"/>
          <w:numId w:val="1001"/>
        </w:numPr>
        <w:pStyle w:val="Compact"/>
      </w:pPr>
      <w:r>
        <w:rPr>
          <w:bCs/>
          <w:b/>
        </w:rPr>
        <w:t xml:space="preserve">Confidentiality:</w:t>
      </w:r>
      <w:r>
        <w:t xml:space="preserve"> </w:t>
      </w:r>
      <w:r>
        <w:t xml:space="preserve">The</w:t>
      </w:r>
      <w:r>
        <w:t xml:space="preserve"> </w:t>
      </w:r>
      <w:r>
        <w:t xml:space="preserve">UX UI Designer</w:t>
      </w:r>
      <w:r>
        <w:t xml:space="preserve"> </w:t>
      </w:r>
      <w:r>
        <w:t xml:space="preserve">shall maintain strict confidentiality regarding all proprietary information, user data, and business strategies disclosed during the engagement in</w:t>
      </w:r>
      <w:r>
        <w:t xml:space="preserve"> </w:t>
      </w:r>
      <w:r>
        <w:t xml:space="preserve">Malaysia Kuala Lumpur</w:t>
      </w:r>
      <w:r>
        <w:t xml:space="preserve">. A separate Non-Disclosure Agreement (NDA) is attached as Appendix A.</w:t>
      </w:r>
    </w:p>
    <w:p>
      <w:pPr>
        <w:numPr>
          <w:ilvl w:val="0"/>
          <w:numId w:val="1001"/>
        </w:numPr>
        <w:pStyle w:val="Compact"/>
      </w:pPr>
      <w:r>
        <w:rPr>
          <w:bCs/>
          <w:b/>
        </w:rPr>
        <w:t xml:space="preserve">Compliance:</w:t>
      </w:r>
      <w:r>
        <w:t xml:space="preserve"> </w:t>
      </w:r>
      <w:r>
        <w:t xml:space="preserve">The Supplier and the assigned</w:t>
      </w:r>
      <w:r>
        <w:t xml:space="preserve"> </w:t>
      </w:r>
      <w:r>
        <w:t xml:space="preserve">UX UI Designer</w:t>
      </w:r>
      <w:r>
        <w:t xml:space="preserve"> </w:t>
      </w:r>
      <w:r>
        <w:t xml:space="preserve">shall comply with all applicable Malaysian laws, including the Personal Data Protection Act 2010 (PDPA), the Employment Act 1955, and all relevant regulations of the Malaysian Communications and Multimedia Commission (MCMC).</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date of termination, and the</w:t>
      </w:r>
      <w:r>
        <w:t xml:space="preserve"> </w:t>
      </w:r>
      <w:r>
        <w:t xml:space="preserve">UX UI Designer</w:t>
      </w:r>
      <w:r>
        <w:t xml:space="preserve"> </w:t>
      </w:r>
      <w:r>
        <w:t xml:space="preserve">shall deliver all work-in-progress materials.</w:t>
      </w:r>
    </w:p>
    <w:p>
      <w:pPr>
        <w:numPr>
          <w:ilvl w:val="0"/>
          <w:numId w:val="1001"/>
        </w:numPr>
        <w:pStyle w:val="Compact"/>
      </w:pPr>
      <w:r>
        <w:rPr>
          <w:bCs/>
          <w:b/>
        </w:rPr>
        <w:t xml:space="preserve">Acceptance:</w:t>
      </w:r>
      <w:r>
        <w:t xml:space="preserve"> </w:t>
      </w:r>
      <w:r>
        <w:t xml:space="preserve">The Buyer shall have ten (10) business days from the date of delivery to inspect and accept each deliverable. Failure to provide written notice of rejection within this period shall constitute deemed acceptance.</w:t>
      </w:r>
    </w:p>
    <w:p>
      <w:pPr>
        <w:numPr>
          <w:ilvl w:val="0"/>
          <w:numId w:val="1001"/>
        </w:numPr>
        <w:pStyle w:val="Compact"/>
      </w:pPr>
      <w:r>
        <w:rPr>
          <w:bCs/>
          <w:b/>
        </w:rPr>
        <w:t xml:space="preserve">Revisions:</w:t>
      </w:r>
      <w:r>
        <w:t xml:space="preserve"> </w:t>
      </w:r>
      <w:r>
        <w:t xml:space="preserve">Each deliverable includes up to three (3) rounds of revisions. Additional revision cycles beyond the included rounds shall be billed at the</w:t>
      </w:r>
      <w:r>
        <w:t xml:space="preserve"> </w:t>
      </w:r>
      <w:r>
        <w:t xml:space="preserve">UX UI Designer</w:t>
      </w:r>
      <w:r>
        <w:t xml:space="preserve">'s standard hourly rate of RM 350.00 per hour.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in</w:t>
      </w:r>
      <w:r>
        <w:t xml:space="preserve"> </w:t>
      </w:r>
      <w:r>
        <w:t xml:space="preserve">Malaysia Kuala Lumpur</w:t>
      </w:r>
      <w:r>
        <w:t xml:space="preserve">, or pandemics.</w:t>
      </w:r>
    </w:p>
    <w:p>
      <w:pPr>
        <w:numPr>
          <w:ilvl w:val="0"/>
          <w:numId w:val="1001"/>
        </w:numPr>
        <w:pStyle w:val="Compact"/>
      </w:pPr>
      <w:r>
        <w:rPr>
          <w:bCs/>
          <w:b/>
        </w:rPr>
        <w:t xml:space="preserve">Tax:</w:t>
      </w:r>
      <w:r>
        <w:t xml:space="preserve"> </w:t>
      </w:r>
      <w:r>
        <w:t xml:space="preserve">All amounts stated in this</w:t>
      </w:r>
      <w:r>
        <w:t xml:space="preserve"> </w:t>
      </w:r>
      <w:r>
        <w:t xml:space="preserve">Purchase Order</w:t>
      </w:r>
      <w:r>
        <w:t xml:space="preserve"> </w:t>
      </w:r>
      <w:r>
        <w:t xml:space="preserve">are inclusive of all applicable taxes, including Service Tax (SST) at the prevailing rate in Malaysia, unless otherwise stated.</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UX UI Designer</w:t>
      </w:r>
      <w:r>
        <w:t xml:space="preserve"> </w:t>
      </w:r>
      <w:r>
        <w:t xml:space="preserve">in</w:t>
      </w:r>
      <w:r>
        <w:t xml:space="preserve"> </w:t>
      </w:r>
      <w:r>
        <w:t xml:space="preserve">Malaysia Kuala Lumpur</w:t>
      </w:r>
      <w:r>
        <w:t xml:space="preserve">. This document constitutes a binding agreement upon execution by both authorized representatives.</w:t>
      </w:r>
    </w:p>
    <w:bookmarkEnd w:id="26"/>
    <w:p>
      <w:pPr>
        <w:pStyle w:val="BodyText"/>
      </w:pPr>
      <w:r>
        <w:rPr>
          <w:bCs/>
          <w:b/>
        </w:rPr>
        <w:t xml:space="preserve">For and on behalf of the Buyer:</w:t>
      </w:r>
      <w:r>
        <w:br/>
      </w:r>
      <w:r>
        <w:t xml:space="preserve">Meridian Digital Solutions Sdn. Bhd.</w:t>
      </w:r>
    </w:p>
    <w:p>
      <w:pPr>
        <w:pStyle w:val="BodyText"/>
      </w:pPr>
      <w:r>
        <w:t xml:space="preserve">Name:</w:t>
      </w:r>
      <w:r>
        <w:t xml:space="preserve"> </w:t>
      </w:r>
      <w:r>
        <w:rPr>
          <w:bCs/>
          <w:b/>
        </w:rPr>
        <w:t xml:space="preserve">Lim Wei Jie</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PixelCraft Design Studio Sdn. Bhd.</w:t>
      </w:r>
    </w:p>
    <w:p>
      <w:pPr>
        <w:pStyle w:val="BodyText"/>
      </w:pPr>
      <w:r>
        <w:t xml:space="preserve">Name:</w:t>
      </w:r>
      <w:r>
        <w:t xml:space="preserve"> </w:t>
      </w:r>
      <w:r>
        <w:rPr>
          <w:bCs/>
          <w:b/>
        </w:rPr>
        <w:t xml:space="preserve">Aisyah binti Rahman</w:t>
      </w:r>
      <w:r>
        <w:br/>
      </w:r>
      <w:r>
        <w:t xml:space="preserve">Title: Managing Director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(PO-2025-KL-0047) is issued for the procurement of</w:t>
      </w:r>
      <w:r>
        <w:t xml:space="preserve"> </w:t>
      </w:r>
      <w:r>
        <w:t xml:space="preserve">UX UI Designer</w:t>
      </w:r>
      <w:r>
        <w:t xml:space="preserve"> </w:t>
      </w:r>
      <w:r>
        <w:t xml:space="preserve">professional services in</w:t>
      </w:r>
      <w:r>
        <w:t xml:space="preserve"> </w:t>
      </w:r>
      <w:r>
        <w:t xml:space="preserve">Malaysia Kuala Lumpur</w:t>
      </w:r>
      <w:r>
        <w:t xml:space="preserve">.</w:t>
      </w:r>
      <w:r>
        <w:br/>
      </w:r>
      <w:r>
        <w:t xml:space="preserve">Document generated on 14 June 2025 | 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Malaysia Kuala Lumpur</dc:title>
  <dc:creator/>
  <dc:language>en</dc:language>
  <cp:keywords/>
  <dcterms:created xsi:type="dcterms:W3CDTF">2026-10-10T07:06:15Z</dcterms:created>
  <dcterms:modified xsi:type="dcterms:W3CDTF">2026-10-10T07:06:15Z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