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Professional Services Procurement Document</w:t>
      </w:r>
    </w:p>
    <w:p>
      <w:pPr>
        <w:pStyle w:val="BodyText"/>
      </w:pPr>
      <w:r>
        <w:t xml:space="preserve">Reference: PO-QTR-2025-00472</w:t>
      </w:r>
    </w:p>
    <w:bookmarkEnd w:id="20"/>
    <w:p>
      <w:pPr>
        <w:pStyle w:val="BodyText"/>
      </w:pPr>
      <w:r>
        <w:rPr>
          <w:bCs/>
          <w:b/>
        </w:rPr>
        <w:t xml:space="preserve">Purchase Order No.:</w:t>
      </w:r>
      <w:r>
        <w:t xml:space="preserve"> </w:t>
      </w:r>
      <w:r>
        <w:t xml:space="preserve">PO-QTR-2025-00472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Project Code:</w:t>
      </w:r>
      <w:r>
        <w:t xml:space="preserve"> </w:t>
      </w:r>
      <w:r>
        <w:t xml:space="preserve">UX-QD-2025-019</w:t>
      </w:r>
      <w:r>
        <w:br/>
      </w:r>
      <w:r>
        <w:rPr>
          <w:bCs/>
          <w:b/>
        </w:rPr>
        <w:t xml:space="preserve">Department:</w:t>
      </w:r>
      <w:r>
        <w:t xml:space="preserve"> </w:t>
      </w:r>
      <w:r>
        <w:t xml:space="preserve">Digital Transformation</w:t>
      </w:r>
      <w:r>
        <w:br/>
      </w:r>
      <w:r>
        <w:rPr>
          <w:bCs/>
          <w:b/>
        </w:rPr>
        <w:t xml:space="preserve">Priority:</w:t>
      </w:r>
      <w:r>
        <w:t xml:space="preserve"> </w:t>
      </w:r>
      <w:r>
        <w:t xml:space="preserve">High</w:t>
      </w:r>
    </w:p>
    <w:bookmarkStart w:id="21" w:name="buyer-information"/>
    <w:p>
      <w:pPr>
        <w:pStyle w:val="Heading2"/>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Al Rayyan Digital Solutions W.L.L.</w:t>
            </w:r>
          </w:p>
        </w:tc>
        <w:tc>
          <w:tcPr/>
          <w:p>
            <w:pPr>
              <w:pStyle w:val="Compact"/>
              <w:jc w:val="left"/>
            </w:pPr>
            <w:r>
              <w:rPr>
                <w:bCs/>
                <w:b/>
              </w:rPr>
              <w:t xml:space="preserve">Trade License No.:</w:t>
            </w:r>
            <w:r>
              <w:t xml:space="preserve"> </w:t>
            </w:r>
            <w:r>
              <w:t xml:space="preserve">12345678</w:t>
            </w:r>
          </w:p>
        </w:tc>
      </w:tr>
      <w:tr>
        <w:tc>
          <w:tcPr/>
          <w:p>
            <w:pPr>
              <w:pStyle w:val="Compact"/>
              <w:jc w:val="left"/>
            </w:pPr>
            <w:r>
              <w:rPr>
                <w:bCs/>
                <w:b/>
              </w:rPr>
              <w:t xml:space="preserve">Address:</w:t>
            </w:r>
            <w:r>
              <w:t xml:space="preserve"> </w:t>
            </w:r>
            <w:r>
              <w:t xml:space="preserve">Office 42, Level 7, Business Bay Tower, West Bay, Qatar Doha</w:t>
            </w:r>
          </w:p>
        </w:tc>
        <w:tc>
          <w:tcPr/>
          <w:p>
            <w:pPr>
              <w:pStyle w:val="Compact"/>
              <w:jc w:val="left"/>
            </w:pPr>
            <w:r>
              <w:rPr>
                <w:bCs/>
                <w:b/>
              </w:rPr>
              <w:t xml:space="preserve">VAT No.:</w:t>
            </w:r>
            <w:r>
              <w:t xml:space="preserve"> </w:t>
            </w:r>
            <w:r>
              <w:t xml:space="preserve">QV-987654321</w:t>
            </w:r>
          </w:p>
        </w:tc>
      </w:tr>
      <w:tr>
        <w:tc>
          <w:tcPr/>
          <w:p>
            <w:pPr>
              <w:pStyle w:val="Compact"/>
              <w:jc w:val="left"/>
            </w:pPr>
            <w:r>
              <w:rPr>
                <w:bCs/>
                <w:b/>
              </w:rPr>
              <w:t xml:space="preserve">Contact Person:</w:t>
            </w:r>
            <w:r>
              <w:t xml:space="preserve"> </w:t>
            </w:r>
            <w:r>
              <w:t xml:space="preserve">Mr. Khalid Al-Mansoori, Head of Procurement</w:t>
            </w:r>
          </w:p>
        </w:tc>
        <w:tc>
          <w:tcPr/>
          <w:p>
            <w:pPr>
              <w:pStyle w:val="Compact"/>
              <w:jc w:val="left"/>
            </w:pPr>
            <w:r>
              <w:rPr>
                <w:bCs/>
                <w:b/>
              </w:rPr>
              <w:t xml:space="preserve">Email:</w:t>
            </w:r>
            <w:r>
              <w:t xml:space="preserve"> </w:t>
            </w:r>
            <w:r>
              <w:t xml:space="preserve">procurement@alrayyandigital.qa</w:t>
            </w:r>
          </w:p>
        </w:tc>
      </w:tr>
      <w:tr>
        <w:tc>
          <w:tcPr/>
          <w:p>
            <w:pPr>
              <w:pStyle w:val="Compact"/>
              <w:jc w:val="left"/>
            </w:pPr>
            <w:r>
              <w:rPr>
                <w:bCs/>
                <w:b/>
              </w:rPr>
              <w:t xml:space="preserve">Phone:</w:t>
            </w:r>
            <w:r>
              <w:t xml:space="preserve"> </w:t>
            </w:r>
            <w:r>
              <w:t xml:space="preserve">+974 4455 6677</w:t>
            </w:r>
          </w:p>
        </w:tc>
        <w:tc>
          <w:tcPr/>
          <w:p>
            <w:pPr>
              <w:pStyle w:val="Compact"/>
              <w:jc w:val="left"/>
            </w:pPr>
            <w:r>
              <w:rPr>
                <w:bCs/>
                <w:b/>
              </w:rPr>
              <w:t xml:space="preserve">Bank:</w:t>
            </w:r>
            <w:r>
              <w:t xml:space="preserve"> </w:t>
            </w:r>
            <w:r>
              <w:t xml:space="preserve">QNB, Account: 0012-3456-7890</w:t>
            </w:r>
          </w:p>
        </w:tc>
      </w:tr>
    </w:tbl>
    <w:bookmarkEnd w:id="21"/>
    <w:bookmarkStart w:id="22" w:name="supplier-service-provider-information"/>
    <w:p>
      <w:pPr>
        <w:pStyle w:val="Heading2"/>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PixelCraft Design Studio LLC</w:t>
            </w:r>
          </w:p>
        </w:tc>
        <w:tc>
          <w:tcPr/>
          <w:p>
            <w:pPr>
              <w:pStyle w:val="Compact"/>
              <w:jc w:val="left"/>
            </w:pPr>
            <w:r>
              <w:rPr>
                <w:bCs/>
                <w:b/>
              </w:rPr>
              <w:t xml:space="preserve">Trade License No.:</w:t>
            </w:r>
            <w:r>
              <w:t xml:space="preserve"> </w:t>
            </w:r>
            <w:r>
              <w:t xml:space="preserve">87654321</w:t>
            </w:r>
          </w:p>
        </w:tc>
      </w:tr>
      <w:tr>
        <w:tc>
          <w:tcPr/>
          <w:p>
            <w:pPr>
              <w:pStyle w:val="Compact"/>
              <w:jc w:val="left"/>
            </w:pPr>
            <w:r>
              <w:rPr>
                <w:bCs/>
                <w:b/>
              </w:rPr>
              <w:t xml:space="preserve">Address:</w:t>
            </w:r>
            <w:r>
              <w:t xml:space="preserve"> </w:t>
            </w:r>
            <w:r>
              <w:t xml:space="preserve">Suite 18, Level 3, Doha Tech Park, Msheireb District, Qatar Doha</w:t>
            </w:r>
          </w:p>
        </w:tc>
        <w:tc>
          <w:tcPr/>
          <w:p>
            <w:pPr>
              <w:pStyle w:val="Compact"/>
              <w:jc w:val="left"/>
            </w:pPr>
            <w:r>
              <w:rPr>
                <w:bCs/>
                <w:b/>
              </w:rPr>
              <w:t xml:space="preserve">VAT No.:</w:t>
            </w:r>
            <w:r>
              <w:t xml:space="preserve"> </w:t>
            </w:r>
            <w:r>
              <w:t xml:space="preserve">QV-112233445</w:t>
            </w:r>
          </w:p>
        </w:tc>
      </w:tr>
      <w:tr>
        <w:tc>
          <w:tcPr/>
          <w:p>
            <w:pPr>
              <w:pStyle w:val="Compact"/>
              <w:jc w:val="left"/>
            </w:pPr>
            <w:r>
              <w:rPr>
                <w:bCs/>
                <w:b/>
              </w:rPr>
              <w:t xml:space="preserve">Contact Person:</w:t>
            </w:r>
            <w:r>
              <w:t xml:space="preserve"> </w:t>
            </w:r>
            <w:r>
              <w:t xml:space="preserve">Ms. Sarah Al-Thani, Lead UX UI Designer</w:t>
            </w:r>
          </w:p>
        </w:tc>
        <w:tc>
          <w:tcPr/>
          <w:p>
            <w:pPr>
              <w:pStyle w:val="Compact"/>
              <w:jc w:val="left"/>
            </w:pPr>
            <w:r>
              <w:rPr>
                <w:bCs/>
                <w:b/>
              </w:rPr>
              <w:t xml:space="preserve">Email:</w:t>
            </w:r>
            <w:r>
              <w:t xml:space="preserve"> </w:t>
            </w:r>
            <w:r>
              <w:t xml:space="preserve">sarah@pixelcraft.qa</w:t>
            </w:r>
          </w:p>
        </w:tc>
      </w:tr>
      <w:tr>
        <w:tc>
          <w:tcPr/>
          <w:p>
            <w:pPr>
              <w:pStyle w:val="Compact"/>
              <w:jc w:val="left"/>
            </w:pPr>
            <w:r>
              <w:rPr>
                <w:bCs/>
                <w:b/>
              </w:rPr>
              <w:t xml:space="preserve">Phone:</w:t>
            </w:r>
            <w:r>
              <w:t xml:space="preserve"> </w:t>
            </w:r>
            <w:r>
              <w:t xml:space="preserve">+974 4488 9900</w:t>
            </w:r>
          </w:p>
        </w:tc>
        <w:tc>
          <w:tcPr/>
          <w:p>
            <w:pPr>
              <w:pStyle w:val="Compact"/>
              <w:jc w:val="left"/>
            </w:pPr>
            <w:r>
              <w:rPr>
                <w:bCs/>
                <w:b/>
              </w:rPr>
              <w:t xml:space="preserve">Bank:</w:t>
            </w:r>
            <w:r>
              <w:t xml:space="preserve"> </w:t>
            </w:r>
            <w:r>
              <w:t xml:space="preserve">Commercial Bank of Qatar, Account: 0098-7654-3210</w:t>
            </w:r>
          </w:p>
        </w:tc>
      </w:tr>
    </w:tbl>
    <w:bookmarkEnd w:id="22"/>
    <w:bookmarkStart w:id="23" w:name="X9906647ec807bfe03449cb4046f46dc20f8bcd1"/>
    <w:p>
      <w:pPr>
        <w:pStyle w:val="Heading2"/>
      </w:pPr>
      <w:r>
        <w:t xml:space="preserve">3. Description of Services – UX UI Designer Engagement</w:t>
      </w:r>
    </w:p>
    <w:p>
      <w:pPr>
        <w:pStyle w:val="FirstParagraph"/>
      </w:pPr>
      <w:r>
        <w:t xml:space="preserve">This</w:t>
      </w:r>
      <w:r>
        <w:t xml:space="preserve"> </w:t>
      </w:r>
      <w:r>
        <w:t xml:space="preserve">Purchase Order</w:t>
      </w:r>
      <w:r>
        <w:t xml:space="preserve"> </w:t>
      </w:r>
      <w:r>
        <w:t xml:space="preserve">is issued to formally engage the services of a qualified</w:t>
      </w:r>
      <w:r>
        <w:t xml:space="preserve"> </w:t>
      </w:r>
      <w:r>
        <w:t xml:space="preserve">UX UI Designer</w:t>
      </w:r>
      <w:r>
        <w:t xml:space="preserve"> </w:t>
      </w:r>
      <w:r>
        <w:t xml:space="preserve">to deliver comprehensive user experience and user interface design solutions for the buyer's flagship digital platform. The</w:t>
      </w:r>
      <w:r>
        <w:t xml:space="preserve"> </w:t>
      </w:r>
      <w:r>
        <w:t xml:space="preserve">UX UI Designer</w:t>
      </w:r>
      <w:r>
        <w:t xml:space="preserve"> </w:t>
      </w:r>
      <w:r>
        <w:t xml:space="preserve">shall be based in</w:t>
      </w:r>
      <w:r>
        <w:t xml:space="preserve"> </w:t>
      </w:r>
      <w:r>
        <w:t xml:space="preserve">Qatar Doha</w:t>
      </w:r>
      <w:r>
        <w:t xml:space="preserve"> </w:t>
      </w:r>
      <w:r>
        <w:t xml:space="preserve">and shall report directly to the Digital Transformation Department. The scope of work encompasses the full design lifecycle, including user research, information architecture, wireframing, visual design, prototyping, usability testing, and design system development. All deliverables must comply with the buyer's brand guidelines and the accessibility standards mandated by the Qatar National Digital Strategy.</w:t>
      </w:r>
    </w:p>
    <w:bookmarkEnd w:id="23"/>
    <w:bookmarkStart w:id="24" w:name="scope-of-work-and-deliverables"/>
    <w:p>
      <w:pPr>
        <w:pStyle w:val="Heading2"/>
      </w:pPr>
      <w:r>
        <w:t xml:space="preserve">4. Scope of Work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(QAR)</w:t>
            </w:r>
          </w:p>
        </w:tc>
        <w:tc>
          <w:tcPr/>
          <w:p>
            <w:pPr>
              <w:pStyle w:val="Compact"/>
              <w:jc w:val="left"/>
            </w:pPr>
            <w:r>
              <w:t xml:space="preserve">Total (QAR)</w:t>
            </w:r>
          </w:p>
        </w:tc>
      </w:tr>
      <w:tr>
        <w:tc>
          <w:tcPr/>
          <w:p>
            <w:pPr>
              <w:pStyle w:val="Compact"/>
              <w:jc w:val="left"/>
            </w:pPr>
            <w:r>
              <w:t xml:space="preserve">01</w:t>
            </w:r>
          </w:p>
        </w:tc>
        <w:tc>
          <w:tcPr/>
          <w:p>
            <w:pPr>
              <w:pStyle w:val="Compact"/>
              <w:jc w:val="left"/>
            </w:pPr>
            <w:r>
              <w:t xml:space="preserve">User Research &amp; Competitive Analysis – Conducting stakeholder interviews, user persona development, and competitive benchmarking for the Qatar Doha market</w:t>
            </w:r>
          </w:p>
        </w:tc>
        <w:tc>
          <w:tcPr/>
          <w:p>
            <w:pPr>
              <w:pStyle w:val="Compact"/>
              <w:jc w:val="left"/>
            </w:pPr>
            <w:r>
              <w:t xml:space="preserve">1</w:t>
            </w:r>
          </w:p>
        </w:tc>
        <w:tc>
          <w:tcPr/>
          <w:p>
            <w:pPr>
              <w:pStyle w:val="Compact"/>
              <w:jc w:val="left"/>
            </w:pPr>
            <w:r>
              <w:t xml:space="preserve">Lot</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02</w:t>
            </w:r>
          </w:p>
        </w:tc>
        <w:tc>
          <w:tcPr/>
          <w:p>
            <w:pPr>
              <w:pStyle w:val="Compact"/>
              <w:jc w:val="left"/>
            </w:pPr>
            <w:r>
              <w:t xml:space="preserve">Information Architecture &amp; User Flow Design – Mapping user journeys, creating sitemaps, and defining navigation structures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03</w:t>
            </w:r>
          </w:p>
        </w:tc>
        <w:tc>
          <w:tcPr/>
          <w:p>
            <w:pPr>
              <w:pStyle w:val="Compact"/>
              <w:jc w:val="left"/>
            </w:pPr>
            <w:r>
              <w:t xml:space="preserve">Wireframing &amp; Low-Fidelity Prototyping – Delivering interactive wireframes for all core screens and user flows</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04</w:t>
            </w:r>
          </w:p>
        </w:tc>
        <w:tc>
          <w:tcPr/>
          <w:p>
            <w:pPr>
              <w:pStyle w:val="Compact"/>
              <w:jc w:val="left"/>
            </w:pPr>
            <w:r>
              <w:t xml:space="preserve">High-Fidelity UI Design &amp; Visual Identity – Pixel-perfect interface designs, color palettes, typography, and component library</w:t>
            </w:r>
          </w:p>
        </w:tc>
        <w:tc>
          <w:tcPr/>
          <w:p>
            <w:pPr>
              <w:pStyle w:val="Compact"/>
              <w:jc w:val="left"/>
            </w:pPr>
            <w:r>
              <w:t xml:space="preserve">1</w:t>
            </w:r>
          </w:p>
        </w:tc>
        <w:tc>
          <w:tcPr/>
          <w:p>
            <w:pPr>
              <w:pStyle w:val="Compact"/>
              <w:jc w:val="left"/>
            </w:pPr>
            <w:r>
              <w:t xml:space="preserve">Lot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Interactive Prototyping &amp; Usability Testing – Building clickable prototypes in Figma and conducting moderated usability sessions with local users in Qatar Doha</w:t>
            </w:r>
          </w:p>
        </w:tc>
        <w:tc>
          <w:tcPr/>
          <w:p>
            <w:pPr>
              <w:pStyle w:val="Compact"/>
              <w:jc w:val="left"/>
            </w:pPr>
            <w:r>
              <w:t xml:space="preserve">1</w:t>
            </w:r>
          </w:p>
        </w:tc>
        <w:tc>
          <w:tcPr/>
          <w:p>
            <w:pPr>
              <w:pStyle w:val="Compact"/>
              <w:jc w:val="left"/>
            </w:pPr>
            <w:r>
              <w:t xml:space="preserve">Lot</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06</w:t>
            </w:r>
          </w:p>
        </w:tc>
        <w:tc>
          <w:tcPr/>
          <w:p>
            <w:pPr>
              <w:pStyle w:val="Compact"/>
              <w:jc w:val="left"/>
            </w:pPr>
            <w:r>
              <w:t xml:space="preserve">Design System Documentation &amp; Handover – Comprehensive design tokens, component specifications, and developer handover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Ongoing Design Support &amp; Iteration (3 months post-delivery)</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36,000.00</w:t>
            </w:r>
          </w:p>
        </w:tc>
      </w:tr>
      <w:tr>
        <w:tc>
          <w:tcPr>
            <w:gridSpan w:val="5"/>
          </w:tcPr>
          <w:p>
            <w:pPr>
              <w:pStyle w:val="Compact"/>
              <w:jc w:val="right"/>
            </w:pPr>
            <w:r>
              <w:t xml:space="preserve">Subtotal:</w:t>
            </w:r>
          </w:p>
        </w:tc>
        <w:tc>
          <w:tcPr/>
          <w:p>
            <w:pPr>
              <w:pStyle w:val="Compact"/>
              <w:jc w:val="left"/>
            </w:pPr>
            <w:r>
              <w:t xml:space="preserve">218,000.00</w:t>
            </w:r>
          </w:p>
        </w:tc>
      </w:tr>
      <w:tr>
        <w:tc>
          <w:tcPr>
            <w:gridSpan w:val="5"/>
          </w:tcPr>
          <w:p>
            <w:pPr>
              <w:pStyle w:val="Compact"/>
              <w:jc w:val="right"/>
            </w:pPr>
            <w:r>
              <w:t xml:space="preserve">VAT (14%):</w:t>
            </w:r>
          </w:p>
        </w:tc>
        <w:tc>
          <w:tcPr/>
          <w:p>
            <w:pPr>
              <w:pStyle w:val="Compact"/>
              <w:jc w:val="left"/>
            </w:pPr>
            <w:r>
              <w:t xml:space="preserve">30,520.00</w:t>
            </w:r>
          </w:p>
        </w:tc>
      </w:tr>
      <w:tr>
        <w:tc>
          <w:tcPr>
            <w:gridSpan w:val="5"/>
          </w:tcPr>
          <w:p>
            <w:pPr>
              <w:pStyle w:val="Compact"/>
              <w:jc w:val="right"/>
            </w:pPr>
            <w:r>
              <w:t xml:space="preserve">Grand Total (QAR):</w:t>
            </w:r>
          </w:p>
        </w:tc>
        <w:tc>
          <w:tcPr/>
          <w:p>
            <w:pPr>
              <w:pStyle w:val="Compact"/>
              <w:jc w:val="left"/>
            </w:pPr>
            <w:r>
              <w:t xml:space="preserve">248,520.00</w:t>
            </w:r>
          </w:p>
        </w:tc>
      </w:tr>
    </w:tbl>
    <w:bookmarkEnd w:id="24"/>
    <w:bookmarkStart w:id="25" w:name="project-timeline-and-milestones"/>
    <w:p>
      <w:pPr>
        <w:pStyle w:val="Heading2"/>
      </w:pPr>
      <w:r>
        <w:t xml:space="preserve">5. Project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Project Kickoff</w:t>
            </w:r>
          </w:p>
        </w:tc>
        <w:tc>
          <w:tcPr/>
          <w:p>
            <w:pPr>
              <w:pStyle w:val="Compact"/>
              <w:jc w:val="left"/>
            </w:pPr>
            <w:r>
              <w:t xml:space="preserve">20 June 2025</w:t>
            </w:r>
          </w:p>
        </w:tc>
        <w:tc>
          <w:tcPr/>
          <w:p>
            <w:pPr>
              <w:pStyle w:val="Compact"/>
              <w:jc w:val="left"/>
            </w:pPr>
            <w:r>
              <w:t xml:space="preserve">Onboarding of UX UI Designer in Qatar Doha office</w:t>
            </w:r>
          </w:p>
        </w:tc>
      </w:tr>
      <w:tr>
        <w:tc>
          <w:tcPr/>
          <w:p>
            <w:pPr>
              <w:pStyle w:val="Compact"/>
              <w:jc w:val="left"/>
            </w:pPr>
            <w:r>
              <w:t xml:space="preserve">Research &amp; IA Completion</w:t>
            </w:r>
          </w:p>
        </w:tc>
        <w:tc>
          <w:tcPr/>
          <w:p>
            <w:pPr>
              <w:pStyle w:val="Compact"/>
              <w:jc w:val="left"/>
            </w:pPr>
            <w:r>
              <w:t xml:space="preserve">15 July 2025</w:t>
            </w:r>
          </w:p>
        </w:tc>
        <w:tc>
          <w:tcPr/>
          <w:p>
            <w:pPr>
              <w:pStyle w:val="Compact"/>
              <w:jc w:val="left"/>
            </w:pPr>
            <w:r>
              <w:t xml:space="preserve">Research report, personas, sitemap</w:t>
            </w:r>
          </w:p>
        </w:tc>
      </w:tr>
      <w:tr>
        <w:tc>
          <w:tcPr/>
          <w:p>
            <w:pPr>
              <w:pStyle w:val="Compact"/>
              <w:jc w:val="left"/>
            </w:pPr>
            <w:r>
              <w:t xml:space="preserve">Wireframes &amp; Prototypes</w:t>
            </w:r>
          </w:p>
        </w:tc>
        <w:tc>
          <w:tcPr/>
          <w:p>
            <w:pPr>
              <w:pStyle w:val="Compact"/>
              <w:jc w:val="left"/>
            </w:pPr>
            <w:r>
              <w:t xml:space="preserve">15 August 2025</w:t>
            </w:r>
          </w:p>
        </w:tc>
        <w:tc>
          <w:tcPr/>
          <w:p>
            <w:pPr>
              <w:pStyle w:val="Compact"/>
              <w:jc w:val="left"/>
            </w:pPr>
            <w:r>
              <w:t xml:space="preserve">Interactive low-fi and high-fi prototypes</w:t>
            </w:r>
          </w:p>
        </w:tc>
      </w:tr>
      <w:tr>
        <w:tc>
          <w:tcPr/>
          <w:p>
            <w:pPr>
              <w:pStyle w:val="Compact"/>
              <w:jc w:val="left"/>
            </w:pPr>
            <w:r>
              <w:t xml:space="preserve">Final UI &amp; Design System</w:t>
            </w:r>
          </w:p>
        </w:tc>
        <w:tc>
          <w:tcPr/>
          <w:p>
            <w:pPr>
              <w:pStyle w:val="Compact"/>
              <w:jc w:val="left"/>
            </w:pPr>
            <w:r>
              <w:t xml:space="preserve">15 September 2025</w:t>
            </w:r>
          </w:p>
        </w:tc>
        <w:tc>
          <w:tcPr/>
          <w:p>
            <w:pPr>
              <w:pStyle w:val="Compact"/>
              <w:jc w:val="left"/>
            </w:pPr>
            <w:r>
              <w:t xml:space="preserve">Complete design system, all screen designs</w:t>
            </w:r>
          </w:p>
        </w:tc>
      </w:tr>
      <w:tr>
        <w:tc>
          <w:tcPr/>
          <w:p>
            <w:pPr>
              <w:pStyle w:val="Compact"/>
              <w:jc w:val="left"/>
            </w:pPr>
            <w:r>
              <w:t xml:space="preserve">Usability Testing &amp; Handover</w:t>
            </w:r>
          </w:p>
        </w:tc>
        <w:tc>
          <w:tcPr/>
          <w:p>
            <w:pPr>
              <w:pStyle w:val="Compact"/>
              <w:jc w:val="left"/>
            </w:pPr>
            <w:r>
              <w:t xml:space="preserve">30 September 2025</w:t>
            </w:r>
          </w:p>
        </w:tc>
        <w:tc>
          <w:tcPr/>
          <w:p>
            <w:pPr>
              <w:pStyle w:val="Compact"/>
              <w:jc w:val="left"/>
            </w:pPr>
            <w:r>
              <w:t xml:space="preserve">Test reports, developer documentation</w:t>
            </w:r>
          </w:p>
        </w:tc>
      </w:tr>
      <w:tr>
        <w:tc>
          <w:tcPr/>
          <w:p>
            <w:pPr>
              <w:pStyle w:val="Compact"/>
              <w:jc w:val="left"/>
            </w:pPr>
            <w:r>
              <w:t xml:space="preserve">Post-Delivery Support End</w:t>
            </w:r>
          </w:p>
        </w:tc>
        <w:tc>
          <w:tcPr/>
          <w:p>
            <w:pPr>
              <w:pStyle w:val="Compact"/>
              <w:jc w:val="left"/>
            </w:pPr>
            <w:r>
              <w:t xml:space="preserve">30 December 2025</w:t>
            </w:r>
          </w:p>
        </w:tc>
        <w:tc>
          <w:tcPr/>
          <w:p>
            <w:pPr>
              <w:pStyle w:val="Compact"/>
              <w:jc w:val="left"/>
            </w:pPr>
            <w:r>
              <w:t xml:space="preserve">Final iteration sign-off</w:t>
            </w:r>
          </w:p>
        </w:tc>
      </w:tr>
    </w:tbl>
    <w:bookmarkEnd w:id="25"/>
    <w:bookmarkStart w:id="26" w:name="terms-and-conditions"/>
    <w:p>
      <w:pPr>
        <w:pStyle w:val="Heading2"/>
      </w:pPr>
      <w:r>
        <w:t xml:space="preserve">6.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Buyer and the Supplier upon signature by both parties. All terms herein shall be governed by the laws of the State of Qatar.</w:t>
      </w:r>
    </w:p>
    <w:p>
      <w:pPr>
        <w:numPr>
          <w:ilvl w:val="0"/>
          <w:numId w:val="1001"/>
        </w:numPr>
        <w:pStyle w:val="Compact"/>
      </w:pPr>
      <w:r>
        <w:t xml:space="preserve">The</w:t>
      </w:r>
      <w:r>
        <w:t xml:space="preserve"> </w:t>
      </w:r>
      <w:r>
        <w:t xml:space="preserve">UX UI Designer</w:t>
      </w:r>
      <w:r>
        <w:t xml:space="preserve"> </w:t>
      </w:r>
      <w:r>
        <w:t xml:space="preserve">shall maintain full-time availability during standard business hours (Saturday to Thursday, 8:00 AM to 5:00 PM) at the buyer's premises in</w:t>
      </w:r>
      <w:r>
        <w:t xml:space="preserve"> </w:t>
      </w:r>
      <w:r>
        <w:t xml:space="preserve">Qatar Doha</w:t>
      </w:r>
      <w:r>
        <w:t xml:space="preserve">, unless otherwise agreed in writing.</w:t>
      </w:r>
    </w:p>
    <w:p>
      <w:pPr>
        <w:numPr>
          <w:ilvl w:val="0"/>
          <w:numId w:val="1001"/>
        </w:numPr>
        <w:pStyle w:val="Compact"/>
      </w:pPr>
      <w:r>
        <w:t xml:space="preserve">Payment shall be made in three equal installments: 30% upon Purchase Order acceptance, 40% upon delivery of high-fidelity UI designs, and 30% upon final handover and acceptance. All payments shall be processed via bank transfer in Qatari Riyals (QAR).</w:t>
      </w:r>
    </w:p>
    <w:p>
      <w:pPr>
        <w:numPr>
          <w:ilvl w:val="0"/>
          <w:numId w:val="1001"/>
        </w:numPr>
        <w:pStyle w:val="Compact"/>
      </w:pPr>
      <w:r>
        <w:t xml:space="preserve">All intellectual property rights in the deliverables, including but not limited to wireframes, prototypes, design files, and documentation, shall vest exclusively in the Buyer upon full payment. The</w:t>
      </w:r>
      <w:r>
        <w:t xml:space="preserve"> </w:t>
      </w:r>
      <w:r>
        <w:t xml:space="preserve">UX UI Designer</w:t>
      </w:r>
      <w:r>
        <w:t xml:space="preserve"> </w:t>
      </w:r>
      <w:r>
        <w:t xml:space="preserve">retains the right to display the work in a professional portfolio with prior written consent.</w:t>
      </w:r>
    </w:p>
    <w:p>
      <w:pPr>
        <w:numPr>
          <w:ilvl w:val="0"/>
          <w:numId w:val="1001"/>
        </w:numPr>
        <w:pStyle w:val="Compact"/>
      </w:pPr>
      <w:r>
        <w:t xml:space="preserve">The Supplier shall comply with all data protection regulations applicable in</w:t>
      </w:r>
      <w:r>
        <w:t xml:space="preserve"> </w:t>
      </w:r>
      <w:r>
        <w:t xml:space="preserve">Qatar Doha</w:t>
      </w:r>
      <w:r>
        <w:t xml:space="preserve">, including the Personal Data Protection Law (Law No. 13 of 2016). No user data collected during research shall be stored outside the State of Qatar.</w:t>
      </w:r>
    </w:p>
    <w:p>
      <w:pPr>
        <w:numPr>
          <w:ilvl w:val="0"/>
          <w:numId w:val="1001"/>
        </w:numPr>
        <w:pStyle w:val="Compact"/>
      </w:pPr>
      <w:r>
        <w:t xml:space="preserve">Any changes to the scope of work must be documented via a formal Change Order signed by both parties. Unapproved scope changes shall not be compensated under this</w:t>
      </w:r>
      <w:r>
        <w:t xml:space="preserve"> </w:t>
      </w:r>
      <w:r>
        <w:t xml:space="preserve">Purchase Order</w:t>
      </w:r>
      <w:r>
        <w:t xml:space="preserve">.</w:t>
      </w:r>
    </w:p>
    <w:p>
      <w:pPr>
        <w:numPr>
          <w:ilvl w:val="0"/>
          <w:numId w:val="1001"/>
        </w:numPr>
        <w:pStyle w:val="Compact"/>
      </w:pPr>
      <w:r>
        <w:t xml:space="preserve">The</w:t>
      </w:r>
      <w:r>
        <w:t xml:space="preserve"> </w:t>
      </w:r>
      <w:r>
        <w:t xml:space="preserve">UX UI Designer</w:t>
      </w:r>
      <w:r>
        <w:t xml:space="preserve"> </w:t>
      </w:r>
      <w:r>
        <w:t xml:space="preserve">shall provide weekly progress reports every Friday and attend bi-weekly steering committee meetings at the buyer's office in</w:t>
      </w:r>
      <w:r>
        <w:t xml:space="preserve"> </w:t>
      </w:r>
      <w:r>
        <w:t xml:space="preserve">Qatar Doha</w:t>
      </w:r>
      <w:r>
        <w:t xml:space="preserve">.</w:t>
      </w:r>
    </w:p>
    <w:p>
      <w:pPr>
        <w:numPr>
          <w:ilvl w:val="0"/>
          <w:numId w:val="1001"/>
        </w:numPr>
        <w:pStyle w:val="Compact"/>
      </w:pPr>
      <w:r>
        <w:t xml:space="preserve">Either party may terminate this agreement with 30 days' written notice. In the event of termination, the Buyer shall pay for all services rendered up to the termination date.</w:t>
      </w:r>
    </w:p>
    <w:p>
      <w:pPr>
        <w:numPr>
          <w:ilvl w:val="0"/>
          <w:numId w:val="1001"/>
        </w:numPr>
        <w:pStyle w:val="Compact"/>
      </w:pPr>
      <w:r>
        <w:t xml:space="preserve">Disputes arising from this</w:t>
      </w:r>
      <w:r>
        <w:t xml:space="preserve"> </w:t>
      </w:r>
      <w:r>
        <w:t xml:space="preserve">Purchase Order</w:t>
      </w:r>
      <w:r>
        <w:t xml:space="preserve"> </w:t>
      </w:r>
      <w:r>
        <w:t xml:space="preserve">shall be resolved through amicable negotiation. Failing resolution within 30 days, the matter shall be referred to the competent courts in</w:t>
      </w:r>
      <w:r>
        <w:t xml:space="preserve"> </w:t>
      </w:r>
      <w:r>
        <w:t xml:space="preserve">Qatar Doha</w:t>
      </w:r>
      <w:r>
        <w:t xml:space="preserve">.</w:t>
      </w:r>
    </w:p>
    <w:p>
      <w:pPr>
        <w:numPr>
          <w:ilvl w:val="0"/>
          <w:numId w:val="1001"/>
        </w:numPr>
        <w:pStyle w:val="Compact"/>
      </w:pPr>
      <w:r>
        <w:t xml:space="preserve">This</w:t>
      </w:r>
      <w:r>
        <w:t xml:space="preserve"> </w:t>
      </w:r>
      <w:r>
        <w:t xml:space="preserve">Purchase Order</w:t>
      </w:r>
      <w:r>
        <w:t xml:space="preserve"> </w:t>
      </w:r>
      <w:r>
        <w:t xml:space="preserve">is valid for acceptance within 30 calendar days from the date of issue. Failure to accept within this period shall render this document null and void.</w:t>
      </w:r>
    </w:p>
    <w:bookmarkEnd w:id="26"/>
    <w:bookmarkStart w:id="27" w:name="acceptance-and-signatures"/>
    <w:p>
      <w:pPr>
        <w:pStyle w:val="Heading2"/>
      </w:pPr>
      <w:r>
        <w:t xml:space="preserve">7. Acceptance and Signatures</w:t>
      </w:r>
    </w:p>
    <w:p>
      <w:pPr>
        <w:pStyle w:val="FirstParagraph"/>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UX UI Designer</w:t>
      </w:r>
      <w:r>
        <w:t xml:space="preserve"> </w:t>
      </w:r>
      <w:r>
        <w:t xml:space="preserve">in</w:t>
      </w:r>
      <w:r>
        <w:t xml:space="preserve"> </w:t>
      </w:r>
      <w:r>
        <w:t xml:space="preserve">Qatar Doha</w:t>
      </w:r>
      <w:r>
        <w:t xml:space="preserve">.</w:t>
      </w:r>
    </w:p>
    <w:bookmarkEnd w:id="27"/>
    <w:p>
      <w:pPr>
        <w:pStyle w:val="BodyText"/>
      </w:pPr>
      <w:r>
        <w:rPr>
          <w:bCs/>
          <w:b/>
        </w:rPr>
        <w:t xml:space="preserve">For the Buyer:</w:t>
      </w:r>
      <w:r>
        <w:br/>
      </w:r>
      <w:r>
        <w:t xml:space="preserve">Al Rayyan Digital Solutions W.L.L.</w:t>
      </w:r>
      <w:r>
        <w:br/>
      </w:r>
      <w:r>
        <w:t xml:space="preserve">Name: Mr. Khalid Al-Mansoori</w:t>
      </w:r>
      <w:r>
        <w:br/>
      </w:r>
      <w:r>
        <w:t xml:space="preserve">Title: Head of Procurement</w:t>
      </w:r>
      <w:r>
        <w:br/>
      </w:r>
      <w:r>
        <w:t xml:space="preserve">Date: _______________</w:t>
      </w:r>
    </w:p>
    <w:p>
      <w:pPr>
        <w:pStyle w:val="BodyText"/>
      </w:pPr>
      <w:r>
        <w:rPr>
          <w:bCs/>
          <w:b/>
        </w:rPr>
        <w:t xml:space="preserve">For the Supplier:</w:t>
      </w:r>
      <w:r>
        <w:br/>
      </w:r>
      <w:r>
        <w:t xml:space="preserve">PixelCraft Design Studio LLC</w:t>
      </w:r>
      <w:r>
        <w:br/>
      </w:r>
      <w:r>
        <w:t xml:space="preserve">Name: Ms. Sarah Al-Thani</w:t>
      </w:r>
      <w:r>
        <w:br/>
      </w:r>
      <w:r>
        <w:t xml:space="preserve">Title: Lead UX UI Designer / Director</w:t>
      </w:r>
      <w:r>
        <w:br/>
      </w:r>
      <w:r>
        <w:t xml:space="preserve">Date: _______________</w:t>
      </w:r>
    </w:p>
    <w:p>
      <w:pPr>
        <w:pStyle w:val="BodyText"/>
      </w:pPr>
      <w:r>
        <w:t xml:space="preserve">This Purchase Order (PO-QTR-2025-00472) was generated for the procurement of UX UI Designer services in Qatar Doha. This document is confidential and intended solely for the named parties. Unauthorized reproduction or distribution is prohibited.</w:t>
      </w:r>
    </w:p>
    <w:p>
      <w:pPr>
        <w:pStyle w:val="BodyText"/>
      </w:pPr>
      <w:r>
        <w:t xml:space="preserve">Page 1 of 1 • Al Rayyan Digital Solutions W.L.L. • Qatar Doha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Services - Qatar Doha</dc:title>
  <dc:creator/>
  <dc:language>en</dc:language>
  <cp:keywords/>
  <dcterms:created xsi:type="dcterms:W3CDTF">2026-10-10T06:10:56Z</dcterms:created>
  <dcterms:modified xsi:type="dcterms:W3CDTF">2026-10-10T06:10:56Z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