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PO No.: RU-SPB-2025-04782</w:t>
      </w:r>
    </w:p>
    <w:p>
      <w:pPr>
        <w:pStyle w:val="BodyText"/>
      </w:pPr>
      <w:r>
        <w:t xml:space="preserve">Date of Issue: June 15, 2025</w:t>
      </w:r>
    </w:p>
    <w:bookmarkEnd w:id="20"/>
    <w:bookmarkStart w:id="23" w:name="parties-to-this-purchase-order"/>
    <w:p>
      <w:pPr>
        <w:pStyle w:val="Heading2"/>
      </w:pPr>
      <w:r>
        <w:t xml:space="preserve">1. Parties to This Purchase Order</w:t>
      </w:r>
    </w:p>
    <w:bookmarkStart w:id="21" w:name="buyer-procuring-entity"/>
    <w:p>
      <w:pPr>
        <w:pStyle w:val="Heading3"/>
      </w:pPr>
      <w:r>
        <w:t xml:space="preserve">Buyer (Procuring Entity)</w:t>
      </w:r>
    </w:p>
    <w:p>
      <w:pPr>
        <w:pStyle w:val="FirstParagraph"/>
      </w:pPr>
      <w:r>
        <w:rPr>
          <w:bCs/>
          <w:b/>
        </w:rPr>
        <w:t xml:space="preserve">Company:</w:t>
      </w:r>
      <w:r>
        <w:t xml:space="preserve"> </w:t>
      </w:r>
      <w:r>
        <w:t xml:space="preserve">Northern Digital Solutions LLC</w:t>
      </w:r>
    </w:p>
    <w:p>
      <w:pPr>
        <w:pStyle w:val="BodyText"/>
      </w:pPr>
      <w:r>
        <w:rPr>
          <w:bCs/>
          <w:b/>
        </w:rPr>
        <w:t xml:space="preserve">Address:</w:t>
      </w:r>
      <w:r>
        <w:t xml:space="preserve"> </w:t>
      </w:r>
      <w:r>
        <w:t xml:space="preserve">42 Nevsky Prospekt, Building 3, Floor 12</w:t>
      </w:r>
    </w:p>
    <w:p>
      <w:pPr>
        <w:pStyle w:val="BodyText"/>
      </w:pPr>
      <w:r>
        <w:rPr>
          <w:bCs/>
          <w:b/>
        </w:rPr>
        <w:t xml:space="preserve">City:</w:t>
      </w:r>
      <w:r>
        <w:t xml:space="preserve"> </w:t>
      </w:r>
      <w:r>
        <w:t xml:space="preserve">Russia Saint Petersburg, 191025</w:t>
      </w:r>
    </w:p>
    <w:p>
      <w:pPr>
        <w:pStyle w:val="BodyText"/>
      </w:pPr>
      <w:r>
        <w:rPr>
          <w:bCs/>
          <w:b/>
        </w:rPr>
        <w:t xml:space="preserve">Country:</w:t>
      </w:r>
      <w:r>
        <w:t xml:space="preserve"> </w:t>
      </w:r>
      <w:r>
        <w:t xml:space="preserve">Russian Federation</w:t>
      </w:r>
    </w:p>
    <w:p>
      <w:pPr>
        <w:pStyle w:val="BodyText"/>
      </w:pPr>
      <w:r>
        <w:rPr>
          <w:bCs/>
          <w:b/>
        </w:rPr>
        <w:t xml:space="preserve">INN:</w:t>
      </w:r>
      <w:r>
        <w:t xml:space="preserve"> </w:t>
      </w:r>
      <w:r>
        <w:t xml:space="preserve">7805432198</w:t>
      </w:r>
    </w:p>
    <w:p>
      <w:pPr>
        <w:pStyle w:val="BodyText"/>
      </w:pPr>
      <w:r>
        <w:rPr>
          <w:bCs/>
          <w:b/>
        </w:rPr>
        <w:t xml:space="preserve">KPP:</w:t>
      </w:r>
      <w:r>
        <w:t xml:space="preserve"> </w:t>
      </w:r>
      <w:r>
        <w:t xml:space="preserve">780501001</w:t>
      </w:r>
    </w:p>
    <w:p>
      <w:pPr>
        <w:pStyle w:val="BodyText"/>
      </w:pPr>
      <w:r>
        <w:rPr>
          <w:bCs/>
          <w:b/>
        </w:rPr>
        <w:t xml:space="preserve">Contact:</w:t>
      </w:r>
      <w:r>
        <w:t xml:space="preserve"> </w:t>
      </w:r>
      <w:r>
        <w:t xml:space="preserve">Mr. Alexander Petrov, Head of Procurement</w:t>
      </w:r>
    </w:p>
    <w:p>
      <w:pPr>
        <w:pStyle w:val="BodyText"/>
      </w:pPr>
      <w:r>
        <w:rPr>
          <w:bCs/>
          <w:b/>
        </w:rPr>
        <w:t xml:space="preserve">Email:</w:t>
      </w:r>
      <w:r>
        <w:t xml:space="preserve"> </w:t>
      </w:r>
      <w:r>
        <w:t xml:space="preserve">procurement@northerndigital.ru</w:t>
      </w:r>
    </w:p>
    <w:p>
      <w:pPr>
        <w:pStyle w:val="BodyText"/>
      </w:pPr>
      <w:r>
        <w:rPr>
          <w:bCs/>
          <w:b/>
        </w:rPr>
        <w:t xml:space="preserve">Phone:</w:t>
      </w:r>
      <w:r>
        <w:t xml:space="preserve"> </w:t>
      </w:r>
      <w:r>
        <w:t xml:space="preserve">+7 (812) 555-0142</w:t>
      </w:r>
    </w:p>
    <w:bookmarkEnd w:id="21"/>
    <w:bookmarkStart w:id="22" w:name="supplier-service-provider"/>
    <w:p>
      <w:pPr>
        <w:pStyle w:val="Heading3"/>
      </w:pPr>
      <w:r>
        <w:t xml:space="preserve">Supplier (Service Provider)</w:t>
      </w:r>
    </w:p>
    <w:p>
      <w:pPr>
        <w:pStyle w:val="FirstParagraph"/>
      </w:pPr>
      <w:r>
        <w:rPr>
          <w:bCs/>
          <w:b/>
        </w:rPr>
        <w:t xml:space="preserve">Company:</w:t>
      </w:r>
      <w:r>
        <w:t xml:space="preserve"> </w:t>
      </w:r>
      <w:r>
        <w:t xml:space="preserve">Baltic Design Studio OOO</w:t>
      </w:r>
    </w:p>
    <w:p>
      <w:pPr>
        <w:pStyle w:val="BodyText"/>
      </w:pPr>
      <w:r>
        <w:rPr>
          <w:bCs/>
          <w:b/>
        </w:rPr>
        <w:t xml:space="preserve">Address:</w:t>
      </w:r>
      <w:r>
        <w:t xml:space="preserve"> </w:t>
      </w:r>
      <w:r>
        <w:t xml:space="preserve">18 Liteyny Avenue, Office 507</w:t>
      </w:r>
    </w:p>
    <w:p>
      <w:pPr>
        <w:pStyle w:val="BodyText"/>
      </w:pPr>
      <w:r>
        <w:rPr>
          <w:bCs/>
          <w:b/>
        </w:rPr>
        <w:t xml:space="preserve">City:</w:t>
      </w:r>
      <w:r>
        <w:t xml:space="preserve"> </w:t>
      </w:r>
      <w:r>
        <w:t xml:space="preserve">Russia Saint Petersburg, 191011</w:t>
      </w:r>
    </w:p>
    <w:p>
      <w:pPr>
        <w:pStyle w:val="BodyText"/>
      </w:pPr>
      <w:r>
        <w:rPr>
          <w:bCs/>
          <w:b/>
        </w:rPr>
        <w:t xml:space="preserve">Country:</w:t>
      </w:r>
      <w:r>
        <w:t xml:space="preserve"> </w:t>
      </w:r>
      <w:r>
        <w:t xml:space="preserve">Russian Federation</w:t>
      </w:r>
    </w:p>
    <w:p>
      <w:pPr>
        <w:pStyle w:val="BodyText"/>
      </w:pPr>
      <w:r>
        <w:rPr>
          <w:bCs/>
          <w:b/>
        </w:rPr>
        <w:t xml:space="preserve">INN:</w:t>
      </w:r>
      <w:r>
        <w:t xml:space="preserve"> </w:t>
      </w:r>
      <w:r>
        <w:t xml:space="preserve">7811987654</w:t>
      </w:r>
    </w:p>
    <w:p>
      <w:pPr>
        <w:pStyle w:val="BodyText"/>
      </w:pPr>
      <w:r>
        <w:rPr>
          <w:bCs/>
          <w:b/>
        </w:rPr>
        <w:t xml:space="preserve">KPP:</w:t>
      </w:r>
      <w:r>
        <w:t xml:space="preserve"> </w:t>
      </w:r>
      <w:r>
        <w:t xml:space="preserve">781101001</w:t>
      </w:r>
    </w:p>
    <w:p>
      <w:pPr>
        <w:pStyle w:val="BodyText"/>
      </w:pPr>
      <w:r>
        <w:rPr>
          <w:bCs/>
          <w:b/>
        </w:rPr>
        <w:t xml:space="preserve">Contact:</w:t>
      </w:r>
      <w:r>
        <w:t xml:space="preserve"> </w:t>
      </w:r>
      <w:r>
        <w:t xml:space="preserve">Ms. Elena Volkova, Account Director</w:t>
      </w:r>
    </w:p>
    <w:p>
      <w:pPr>
        <w:pStyle w:val="BodyText"/>
      </w:pPr>
      <w:r>
        <w:rPr>
          <w:bCs/>
          <w:b/>
        </w:rPr>
        <w:t xml:space="preserve">Email:</w:t>
      </w:r>
      <w:r>
        <w:t xml:space="preserve"> </w:t>
      </w:r>
      <w:r>
        <w:t xml:space="preserve">contracts@balticdesign.ru</w:t>
      </w:r>
    </w:p>
    <w:p>
      <w:pPr>
        <w:pStyle w:val="BodyText"/>
      </w:pPr>
      <w:r>
        <w:rPr>
          <w:bCs/>
          <w:b/>
        </w:rPr>
        <w:t xml:space="preserve">Phone:</w:t>
      </w:r>
      <w:r>
        <w:t xml:space="preserve"> </w:t>
      </w:r>
      <w:r>
        <w:t xml:space="preserve">+7 (812) 333-7891</w:t>
      </w:r>
    </w:p>
    <w:bookmarkEnd w:id="22"/>
    <w:bookmarkEnd w:id="23"/>
    <w:bookmarkStart w:id="24" w:name="description-of-services-procured"/>
    <w:p>
      <w:pPr>
        <w:pStyle w:val="Heading2"/>
      </w:pPr>
      <w:r>
        <w:t xml:space="preserve">2. Description of Services Procured</w:t>
      </w:r>
    </w:p>
    <w:p>
      <w:pPr>
        <w:pStyle w:val="FirstParagraph"/>
      </w:pPr>
      <w:r>
        <w:t xml:space="preserve">This</w:t>
      </w:r>
      <w:r>
        <w:t xml:space="preserve"> </w:t>
      </w:r>
      <w:r>
        <w:t xml:space="preserve">Purchase Order</w:t>
      </w:r>
      <w:r>
        <w:t xml:space="preserve"> </w:t>
      </w:r>
      <w:r>
        <w:t xml:space="preserve">is issued by Northern Digital Solutions LLC to formally request and authorize the engagement of a qualified</w:t>
      </w:r>
      <w:r>
        <w:t xml:space="preserve"> </w:t>
      </w:r>
      <w:r>
        <w:t xml:space="preserve">UX UI Designer</w:t>
      </w:r>
      <w:r>
        <w:t xml:space="preserve"> </w:t>
      </w:r>
      <w:r>
        <w:t xml:space="preserve">to deliver comprehensive user experience and user interface design services for the company's flagship enterprise platform. The services shall be performed in and around</w:t>
      </w:r>
      <w:r>
        <w:t xml:space="preserve"> </w:t>
      </w:r>
      <w:r>
        <w:t xml:space="preserve">Russia Saint Petersburg</w:t>
      </w:r>
      <w:r>
        <w:t xml:space="preserve">, with the primary work location being the buyer's headquarters at Nevsky Prospekt, 42. The</w:t>
      </w:r>
      <w:r>
        <w:t xml:space="preserve"> </w:t>
      </w:r>
      <w:r>
        <w:t xml:space="preserve">UX UI Designer</w:t>
      </w:r>
      <w:r>
        <w:t xml:space="preserve"> </w:t>
      </w:r>
      <w:r>
        <w:t xml:space="preserve">shall be responsible for conducting user research, creating wireframes, developing high-fidelity mockups, building interactive prototypes, and establishing a complete design system for the platform. All deliverables must align with the brand guidelines and accessibility standards applicable within the Russian Federation.</w:t>
      </w:r>
    </w:p>
    <w:bookmarkEnd w:id="24"/>
    <w:bookmarkStart w:id="25" w:name="scope-of-work-and-deliverables"/>
    <w:p>
      <w:pPr>
        <w:pStyle w:val="Heading2"/>
      </w:pPr>
      <w:r>
        <w:t xml:space="preserve">3. Scope of Work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1</w:t>
            </w:r>
          </w:p>
        </w:tc>
        <w:tc>
          <w:tcPr/>
          <w:p>
            <w:pPr>
              <w:pStyle w:val="Compact"/>
              <w:jc w:val="left"/>
            </w:pPr>
            <w:r>
              <w:t xml:space="preserve">UX UI Designer – User Research &amp; Usability Audits (on-site in Russia Saint Petersburg)</w:t>
            </w:r>
          </w:p>
        </w:tc>
        <w:tc>
          <w:tcPr/>
          <w:p>
            <w:pPr>
              <w:pStyle w:val="Compact"/>
              <w:jc w:val="left"/>
            </w:pPr>
            <w:r>
              <w:t xml:space="preserve">40</w:t>
            </w:r>
          </w:p>
        </w:tc>
        <w:tc>
          <w:tcPr/>
          <w:p>
            <w:pPr>
              <w:pStyle w:val="Compact"/>
              <w:jc w:val="left"/>
            </w:pPr>
            <w:r>
              <w:t xml:space="preserve">Hours</w:t>
            </w:r>
          </w:p>
        </w:tc>
        <w:tc>
          <w:tcPr/>
          <w:p>
            <w:pPr>
              <w:pStyle w:val="Compact"/>
              <w:jc w:val="left"/>
            </w:pPr>
            <w:r>
              <w:t xml:space="preserve">3,500</w:t>
            </w:r>
          </w:p>
        </w:tc>
        <w:tc>
          <w:tcPr/>
          <w:p>
            <w:pPr>
              <w:pStyle w:val="Compact"/>
              <w:jc w:val="left"/>
            </w:pPr>
            <w:r>
              <w:t xml:space="preserve">140,000</w:t>
            </w:r>
          </w:p>
        </w:tc>
      </w:tr>
      <w:tr>
        <w:tc>
          <w:tcPr/>
          <w:p>
            <w:pPr>
              <w:pStyle w:val="Compact"/>
              <w:jc w:val="left"/>
            </w:pPr>
            <w:r>
              <w:t xml:space="preserve">2</w:t>
            </w:r>
          </w:p>
        </w:tc>
        <w:tc>
          <w:tcPr/>
          <w:p>
            <w:pPr>
              <w:pStyle w:val="Compact"/>
              <w:jc w:val="left"/>
            </w:pPr>
            <w:r>
              <w:t xml:space="preserve">UX UI Designer – Wireframing &amp; Information Architecture</w:t>
            </w:r>
          </w:p>
        </w:tc>
        <w:tc>
          <w:tcPr/>
          <w:p>
            <w:pPr>
              <w:pStyle w:val="Compact"/>
              <w:jc w:val="left"/>
            </w:pPr>
            <w:r>
              <w:t xml:space="preserve">60</w:t>
            </w:r>
          </w:p>
        </w:tc>
        <w:tc>
          <w:tcPr/>
          <w:p>
            <w:pPr>
              <w:pStyle w:val="Compact"/>
              <w:jc w:val="left"/>
            </w:pPr>
            <w:r>
              <w:t xml:space="preserve">Hours</w:t>
            </w:r>
          </w:p>
        </w:tc>
        <w:tc>
          <w:tcPr/>
          <w:p>
            <w:pPr>
              <w:pStyle w:val="Compact"/>
              <w:jc w:val="left"/>
            </w:pPr>
            <w:r>
              <w:t xml:space="preserve">3,500</w:t>
            </w:r>
          </w:p>
        </w:tc>
        <w:tc>
          <w:tcPr/>
          <w:p>
            <w:pPr>
              <w:pStyle w:val="Compact"/>
              <w:jc w:val="left"/>
            </w:pPr>
            <w:r>
              <w:t xml:space="preserve">210,000</w:t>
            </w:r>
          </w:p>
        </w:tc>
      </w:tr>
      <w:tr>
        <w:tc>
          <w:tcPr/>
          <w:p>
            <w:pPr>
              <w:pStyle w:val="Compact"/>
              <w:jc w:val="left"/>
            </w:pPr>
            <w:r>
              <w:t xml:space="preserve">3</w:t>
            </w:r>
          </w:p>
        </w:tc>
        <w:tc>
          <w:tcPr/>
          <w:p>
            <w:pPr>
              <w:pStyle w:val="Compact"/>
              <w:jc w:val="left"/>
            </w:pPr>
            <w:r>
              <w:t xml:space="preserve">UX UI Designer – High-Fidelity UI Mockups &amp; Visual Design</w:t>
            </w:r>
          </w:p>
        </w:tc>
        <w:tc>
          <w:tcPr/>
          <w:p>
            <w:pPr>
              <w:pStyle w:val="Compact"/>
              <w:jc w:val="left"/>
            </w:pPr>
            <w:r>
              <w:t xml:space="preserve">80</w:t>
            </w:r>
          </w:p>
        </w:tc>
        <w:tc>
          <w:tcPr/>
          <w:p>
            <w:pPr>
              <w:pStyle w:val="Compact"/>
              <w:jc w:val="left"/>
            </w:pPr>
            <w:r>
              <w:t xml:space="preserve">Hours</w:t>
            </w:r>
          </w:p>
        </w:tc>
        <w:tc>
          <w:tcPr/>
          <w:p>
            <w:pPr>
              <w:pStyle w:val="Compact"/>
              <w:jc w:val="left"/>
            </w:pPr>
            <w:r>
              <w:t xml:space="preserve">3,800</w:t>
            </w:r>
          </w:p>
        </w:tc>
        <w:tc>
          <w:tcPr/>
          <w:p>
            <w:pPr>
              <w:pStyle w:val="Compact"/>
              <w:jc w:val="left"/>
            </w:pPr>
            <w:r>
              <w:t xml:space="preserve">304,000</w:t>
            </w:r>
          </w:p>
        </w:tc>
      </w:tr>
      <w:tr>
        <w:tc>
          <w:tcPr/>
          <w:p>
            <w:pPr>
              <w:pStyle w:val="Compact"/>
              <w:jc w:val="left"/>
            </w:pPr>
            <w:r>
              <w:t xml:space="preserve">4</w:t>
            </w:r>
          </w:p>
        </w:tc>
        <w:tc>
          <w:tcPr/>
          <w:p>
            <w:pPr>
              <w:pStyle w:val="Compact"/>
              <w:jc w:val="left"/>
            </w:pPr>
            <w:r>
              <w:t xml:space="preserve">UX UI Designer – Interactive Prototyping &amp; User Testing</w:t>
            </w:r>
          </w:p>
        </w:tc>
        <w:tc>
          <w:tcPr/>
          <w:p>
            <w:pPr>
              <w:pStyle w:val="Compact"/>
              <w:jc w:val="left"/>
            </w:pPr>
            <w:r>
              <w:t xml:space="preserve">50</w:t>
            </w:r>
          </w:p>
        </w:tc>
        <w:tc>
          <w:tcPr/>
          <w:p>
            <w:pPr>
              <w:pStyle w:val="Compact"/>
              <w:jc w:val="left"/>
            </w:pPr>
            <w:r>
              <w:t xml:space="preserve">Hours</w:t>
            </w:r>
          </w:p>
        </w:tc>
        <w:tc>
          <w:tcPr/>
          <w:p>
            <w:pPr>
              <w:pStyle w:val="Compact"/>
              <w:jc w:val="left"/>
            </w:pPr>
            <w:r>
              <w:t xml:space="preserve">3,800</w:t>
            </w:r>
          </w:p>
        </w:tc>
        <w:tc>
          <w:tcPr/>
          <w:p>
            <w:pPr>
              <w:pStyle w:val="Compact"/>
              <w:jc w:val="left"/>
            </w:pPr>
            <w:r>
              <w:t xml:space="preserve">190,000</w:t>
            </w:r>
          </w:p>
        </w:tc>
      </w:tr>
      <w:tr>
        <w:tc>
          <w:tcPr/>
          <w:p>
            <w:pPr>
              <w:pStyle w:val="Compact"/>
              <w:jc w:val="left"/>
            </w:pPr>
            <w:r>
              <w:t xml:space="preserve">5</w:t>
            </w:r>
          </w:p>
        </w:tc>
        <w:tc>
          <w:tcPr/>
          <w:p>
            <w:pPr>
              <w:pStyle w:val="Compact"/>
              <w:jc w:val="left"/>
            </w:pPr>
            <w:r>
              <w:t xml:space="preserve">UX UI Designer – Design System Documentation &amp; Handoff</w:t>
            </w:r>
          </w:p>
        </w:tc>
        <w:tc>
          <w:tcPr/>
          <w:p>
            <w:pPr>
              <w:pStyle w:val="Compact"/>
              <w:jc w:val="left"/>
            </w:pPr>
            <w:r>
              <w:t xml:space="preserve">30</w:t>
            </w:r>
          </w:p>
        </w:tc>
        <w:tc>
          <w:tcPr/>
          <w:p>
            <w:pPr>
              <w:pStyle w:val="Compact"/>
              <w:jc w:val="left"/>
            </w:pPr>
            <w:r>
              <w:t xml:space="preserve">Hours</w:t>
            </w:r>
          </w:p>
        </w:tc>
        <w:tc>
          <w:tcPr/>
          <w:p>
            <w:pPr>
              <w:pStyle w:val="Compact"/>
              <w:jc w:val="left"/>
            </w:pPr>
            <w:r>
              <w:t xml:space="preserve">4,000</w:t>
            </w:r>
          </w:p>
        </w:tc>
        <w:tc>
          <w:tcPr/>
          <w:p>
            <w:pPr>
              <w:pStyle w:val="Compact"/>
              <w:jc w:val="left"/>
            </w:pPr>
            <w:r>
              <w:t xml:space="preserve">120,000</w:t>
            </w:r>
          </w:p>
        </w:tc>
      </w:tr>
      <w:tr>
        <w:tc>
          <w:tcPr/>
          <w:p>
            <w:pPr>
              <w:pStyle w:val="Compact"/>
              <w:jc w:val="left"/>
            </w:pPr>
            <w:r>
              <w:t xml:space="preserve">6</w:t>
            </w:r>
          </w:p>
        </w:tc>
        <w:tc>
          <w:tcPr/>
          <w:p>
            <w:pPr>
              <w:pStyle w:val="Compact"/>
              <w:jc w:val="left"/>
            </w:pPr>
            <w:r>
              <w:t xml:space="preserve">UX UI Designer – Ongoing Support &amp; Revisions (3 months)</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85,000</w:t>
            </w:r>
          </w:p>
        </w:tc>
        <w:tc>
          <w:tcPr/>
          <w:p>
            <w:pPr>
              <w:pStyle w:val="Compact"/>
              <w:jc w:val="left"/>
            </w:pPr>
            <w:r>
              <w:t xml:space="preserve">255,000</w:t>
            </w:r>
          </w:p>
        </w:tc>
      </w:tr>
      <w:tr>
        <w:tc>
          <w:tcPr>
            <w:gridSpan w:val="5"/>
          </w:tcPr>
          <w:p>
            <w:pPr>
              <w:pStyle w:val="Compact"/>
              <w:jc w:val="right"/>
            </w:pPr>
            <w:r>
              <w:t xml:space="preserve">Subtotal:</w:t>
            </w:r>
          </w:p>
        </w:tc>
        <w:tc>
          <w:tcPr/>
          <w:p>
            <w:pPr>
              <w:pStyle w:val="Compact"/>
              <w:jc w:val="left"/>
            </w:pPr>
            <w:r>
              <w:t xml:space="preserve">1,219,000</w:t>
            </w:r>
          </w:p>
        </w:tc>
      </w:tr>
      <w:tr>
        <w:tc>
          <w:tcPr>
            <w:gridSpan w:val="5"/>
          </w:tcPr>
          <w:p>
            <w:pPr>
              <w:pStyle w:val="Compact"/>
              <w:jc w:val="right"/>
            </w:pPr>
            <w:r>
              <w:t xml:space="preserve">VAT (20%):</w:t>
            </w:r>
          </w:p>
        </w:tc>
        <w:tc>
          <w:tcPr/>
          <w:p>
            <w:pPr>
              <w:pStyle w:val="Compact"/>
              <w:jc w:val="left"/>
            </w:pPr>
            <w:r>
              <w:t xml:space="preserve">243,800</w:t>
            </w:r>
          </w:p>
        </w:tc>
      </w:tr>
      <w:tr>
        <w:tc>
          <w:tcPr>
            <w:gridSpan w:val="5"/>
          </w:tcPr>
          <w:p>
            <w:pPr>
              <w:pStyle w:val="Compact"/>
              <w:jc w:val="right"/>
            </w:pPr>
            <w:r>
              <w:t xml:space="preserve">Grand Total:</w:t>
            </w:r>
          </w:p>
        </w:tc>
        <w:tc>
          <w:tcPr/>
          <w:p>
            <w:pPr>
              <w:pStyle w:val="Compact"/>
              <w:jc w:val="left"/>
            </w:pPr>
            <w:r>
              <w:t xml:space="preserve">1,462,800</w:t>
            </w:r>
          </w:p>
        </w:tc>
      </w:tr>
    </w:tbl>
    <w:bookmarkEnd w:id="25"/>
    <w:bookmarkStart w:id="26" w:name="project-timeline-and-milestones"/>
    <w:p>
      <w:pPr>
        <w:pStyle w:val="Heading2"/>
      </w:pPr>
      <w:r>
        <w:t xml:space="preserve">4. Project Timeline and Milestones</w:t>
      </w:r>
    </w:p>
    <w:p>
      <w:pPr>
        <w:pStyle w:val="FirstParagraph"/>
      </w:pPr>
      <w:r>
        <w:t xml:space="preserve">The</w:t>
      </w:r>
      <w:r>
        <w:t xml:space="preserve"> </w:t>
      </w:r>
      <w:r>
        <w:t xml:space="preserve">UX UI Designer</w:t>
      </w:r>
      <w:r>
        <w:t xml:space="preserve"> </w:t>
      </w:r>
      <w:r>
        <w:t xml:space="preserve">shall commence work on July 1, 2025, and complete all primary deliverables by October 15, 2025. The ongoing support phase shall extend through January 15, 2026. All on-site meetings, workshops, and user testing sessions shall take place at the buyer's office in</w:t>
      </w:r>
      <w:r>
        <w:t xml:space="preserve"> </w:t>
      </w:r>
      <w:r>
        <w:t xml:space="preserve">Russia Saint Petersburg</w:t>
      </w:r>
      <w:r>
        <w:t xml:space="preserve">. The supplier is required to submit weekly progress reports and present milestone deliverables for approval at the end of each bi-weekly sprint cycle.</w:t>
      </w:r>
    </w:p>
    <w:bookmarkEnd w:id="26"/>
    <w:bookmarkStart w:id="27" w:name="payment-terms"/>
    <w:p>
      <w:pPr>
        <w:pStyle w:val="Heading2"/>
      </w:pPr>
      <w:r>
        <w:t xml:space="preserve">5. Payment Terms</w:t>
      </w:r>
    </w:p>
    <w:p>
      <w:pPr>
        <w:numPr>
          <w:ilvl w:val="0"/>
          <w:numId w:val="1001"/>
        </w:numPr>
        <w:pStyle w:val="Compact"/>
      </w:pPr>
      <w:r>
        <w:t xml:space="preserve">Payment shall be made in Russian Rubles (RUB) via bank transfer to the supplier's designated account.</w:t>
      </w:r>
    </w:p>
    <w:p>
      <w:pPr>
        <w:numPr>
          <w:ilvl w:val="0"/>
          <w:numId w:val="1001"/>
        </w:numPr>
        <w:pStyle w:val="Compact"/>
      </w:pPr>
      <w:r>
        <w:t xml:space="preserve">30% advance payment (438,840 RUB) due within 5 business days of acceptance of this</w:t>
      </w:r>
      <w:r>
        <w:t xml:space="preserve"> </w:t>
      </w:r>
      <w:r>
        <w:t xml:space="preserve">Purchase Order</w:t>
      </w:r>
      <w:r>
        <w:t xml:space="preserve">.</w:t>
      </w:r>
    </w:p>
    <w:p>
      <w:pPr>
        <w:numPr>
          <w:ilvl w:val="0"/>
          <w:numId w:val="1001"/>
        </w:numPr>
        <w:pStyle w:val="Compact"/>
      </w:pPr>
      <w:r>
        <w:t xml:space="preserve">40% interim payment (585,120 RUB) due upon completion of the wireframing and high-fidelity mockup phases.</w:t>
      </w:r>
    </w:p>
    <w:p>
      <w:pPr>
        <w:numPr>
          <w:ilvl w:val="0"/>
          <w:numId w:val="1001"/>
        </w:numPr>
        <w:pStyle w:val="Compact"/>
      </w:pPr>
      <w:r>
        <w:t xml:space="preserve">30% final payment (438,840 RUB) due upon acceptance of all deliverables and completion of the design system handoff.</w:t>
      </w:r>
    </w:p>
    <w:p>
      <w:pPr>
        <w:numPr>
          <w:ilvl w:val="0"/>
          <w:numId w:val="1001"/>
        </w:numPr>
        <w:pStyle w:val="Compact"/>
      </w:pPr>
      <w:r>
        <w:t xml:space="preserve">Payment terms: Net 15 days from the date of invoice issuance.</w:t>
      </w:r>
    </w:p>
    <w:p>
      <w:pPr>
        <w:numPr>
          <w:ilvl w:val="0"/>
          <w:numId w:val="1001"/>
        </w:numPr>
        <w:pStyle w:val="Compact"/>
      </w:pPr>
      <w:r>
        <w:t xml:space="preserve">Late payments shall incur a penalty of 0.1% per calendar day as stipulated under the Civil Code of the Russian Federation.</w:t>
      </w:r>
    </w:p>
    <w:bookmarkEnd w:id="27"/>
    <w:bookmarkStart w:id="28" w:name="terms-and-conditions"/>
    <w:p>
      <w:pPr>
        <w:pStyle w:val="Heading2"/>
      </w:pPr>
      <w:r>
        <w:t xml:space="preserve">6. Terms and Conditions</w:t>
      </w:r>
    </w:p>
    <w:p>
      <w:pPr>
        <w:numPr>
          <w:ilvl w:val="0"/>
          <w:numId w:val="1002"/>
        </w:numPr>
        <w:pStyle w:val="Compact"/>
      </w:pPr>
      <w:r>
        <w:t xml:space="preserve">This</w:t>
      </w:r>
      <w:r>
        <w:t xml:space="preserve"> </w:t>
      </w:r>
      <w:r>
        <w:t xml:space="preserve">Purchase Order</w:t>
      </w:r>
      <w:r>
        <w:t xml:space="preserve"> </w:t>
      </w:r>
      <w:r>
        <w:t xml:space="preserve">constitutes a binding agreement between the parties upon written acceptance by the supplier.</w:t>
      </w:r>
    </w:p>
    <w:p>
      <w:pPr>
        <w:numPr>
          <w:ilvl w:val="0"/>
          <w:numId w:val="1002"/>
        </w:numPr>
        <w:pStyle w:val="Compact"/>
      </w:pPr>
      <w:r>
        <w:t xml:space="preserve">The</w:t>
      </w:r>
      <w:r>
        <w:t xml:space="preserve"> </w:t>
      </w:r>
      <w:r>
        <w:t xml:space="preserve">UX UI Designer</w:t>
      </w:r>
      <w:r>
        <w:t xml:space="preserve"> </w:t>
      </w:r>
      <w:r>
        <w:t xml:space="preserve">engaged by the supplier must hold a minimum of five (5) years of professional experience in user experience and user interface design, with a verifiable portfolio demonstrating enterprise-level projects.</w:t>
      </w:r>
    </w:p>
    <w:p>
      <w:pPr>
        <w:numPr>
          <w:ilvl w:val="0"/>
          <w:numId w:val="1002"/>
        </w:numPr>
        <w:pStyle w:val="Compact"/>
      </w:pPr>
      <w:r>
        <w:t xml:space="preserve">All work shall be performed in compliance with the labor laws and regulations of the Russian Federation, specifically within the jurisdiction of</w:t>
      </w:r>
      <w:r>
        <w:t xml:space="preserve"> </w:t>
      </w:r>
      <w:r>
        <w:t xml:space="preserve">Russia Saint Petersburg</w:t>
      </w:r>
      <w:r>
        <w:t xml:space="preserve">.</w:t>
      </w:r>
    </w:p>
    <w:p>
      <w:pPr>
        <w:numPr>
          <w:ilvl w:val="0"/>
          <w:numId w:val="1002"/>
        </w:numPr>
        <w:pStyle w:val="Compact"/>
      </w:pPr>
      <w:r>
        <w:t xml:space="preserve">The supplier warrants that all deliverables shall be original work, free from intellectual property infringement, and shall not contain any third-party proprietary assets without proper licensing.</w:t>
      </w:r>
    </w:p>
    <w:p>
      <w:pPr>
        <w:numPr>
          <w:ilvl w:val="0"/>
          <w:numId w:val="1002"/>
        </w:numPr>
        <w:pStyle w:val="Compact"/>
      </w:pPr>
      <w:r>
        <w:t xml:space="preserve">Confidentiality: Both parties agree to maintain strict confidentiality regarding all proprietary information, user data, and business strategies disclosed during the course of this engagement. A separate Non-Disclosure Agreement (NDA) shall be executed prior to the commencement of work.</w:t>
      </w:r>
    </w:p>
    <w:p>
      <w:pPr>
        <w:numPr>
          <w:ilvl w:val="0"/>
          <w:numId w:val="1002"/>
        </w:numPr>
        <w:pStyle w:val="Compact"/>
      </w:pPr>
      <w:r>
        <w:t xml:space="preserve">Termination: Either party may terminate this</w:t>
      </w:r>
      <w:r>
        <w:t xml:space="preserve"> </w:t>
      </w:r>
      <w:r>
        <w:t xml:space="preserve">Purchase Order</w:t>
      </w:r>
      <w:r>
        <w:t xml:space="preserve"> </w:t>
      </w:r>
      <w:r>
        <w:t xml:space="preserve">with thirty (30) days written notice. In the event of termination, the buyer shall compensate the supplier for all work completed up to the termination date.</w:t>
      </w:r>
    </w:p>
    <w:p>
      <w:pPr>
        <w:numPr>
          <w:ilvl w:val="0"/>
          <w:numId w:val="1002"/>
        </w:numPr>
        <w:pStyle w:val="Compact"/>
      </w:pPr>
      <w:r>
        <w:t xml:space="preserve">Force Majeure: Neither party shall be liable for delays caused by events beyond reasonable control, including but not limited to natural disasters, government sanctions, or public health emergencies affecting operations in</w:t>
      </w:r>
      <w:r>
        <w:t xml:space="preserve"> </w:t>
      </w:r>
      <w:r>
        <w:t xml:space="preserve">Russia Saint Petersburg</w:t>
      </w:r>
      <w:r>
        <w:t xml:space="preserve">.</w:t>
      </w:r>
    </w:p>
    <w:p>
      <w:pPr>
        <w:numPr>
          <w:ilvl w:val="0"/>
          <w:numId w:val="1002"/>
        </w:numPr>
        <w:pStyle w:val="Compact"/>
      </w:pPr>
      <w:r>
        <w:t xml:space="preserve">Governing Law: This agreement shall be governed by and construed in accordance with the laws of the Russian Federation. Any disputes shall be resolved through arbitration at the Arbitration Court of Saint Petersburg and Leningrad Oblast.</w:t>
      </w:r>
    </w:p>
    <w:p>
      <w:pPr>
        <w:numPr>
          <w:ilvl w:val="0"/>
          <w:numId w:val="1002"/>
        </w:numPr>
        <w:pStyle w:val="Compact"/>
      </w:pPr>
      <w:r>
        <w:t xml:space="preserve">The</w:t>
      </w:r>
      <w:r>
        <w:t xml:space="preserve"> </w:t>
      </w:r>
      <w:r>
        <w:t xml:space="preserve">UX UI Designer</w:t>
      </w:r>
      <w:r>
        <w:t xml:space="preserve"> </w:t>
      </w:r>
      <w:r>
        <w:t xml:space="preserve">shall adhere to WCAG 2.1 AA accessibility standards and Russian federal regulations regarding digital interface design for public-facing platforms.</w:t>
      </w:r>
    </w:p>
    <w:bookmarkEnd w:id="28"/>
    <w:bookmarkStart w:id="29" w:name="acceptance-and-authorization"/>
    <w:p>
      <w:pPr>
        <w:pStyle w:val="Heading2"/>
      </w:pPr>
      <w:r>
        <w:t xml:space="preserve">7. Acceptance and Authorization</w:t>
      </w:r>
    </w:p>
    <w:p>
      <w:pPr>
        <w:pStyle w:val="FirstParagraph"/>
      </w:pPr>
      <w:r>
        <w:t xml:space="preserve">By signing below, both parties acknowledge and agree to all terms, conditions, and specifications outlined in this</w:t>
      </w:r>
      <w:r>
        <w:t xml:space="preserve"> </w:t>
      </w:r>
      <w:r>
        <w:t xml:space="preserve">Purchase Order</w:t>
      </w:r>
      <w:r>
        <w:t xml:space="preserve"> </w:t>
      </w:r>
      <w:r>
        <w:t xml:space="preserve">for the engagement of a</w:t>
      </w:r>
      <w:r>
        <w:t xml:space="preserve"> </w:t>
      </w:r>
      <w:r>
        <w:t xml:space="preserve">UX UI Designer</w:t>
      </w:r>
      <w:r>
        <w:t xml:space="preserve"> </w:t>
      </w:r>
      <w:r>
        <w:t xml:space="preserve">to provide design services in</w:t>
      </w:r>
      <w:r>
        <w:t xml:space="preserve"> </w:t>
      </w:r>
      <w:r>
        <w:t xml:space="preserve">Russia Saint Petersburg</w:t>
      </w:r>
      <w:r>
        <w:t xml:space="preserve">. This document is valid for a period of thirty (30) days from the date of issue, after which it shall be considered expired unless renewed in writing.</w:t>
      </w:r>
    </w:p>
    <w:bookmarkEnd w:id="29"/>
    <w:p>
      <w:pPr>
        <w:pStyle w:val="BodyText"/>
      </w:pPr>
      <w:r>
        <w:rPr>
          <w:bCs/>
          <w:b/>
        </w:rPr>
        <w:t xml:space="preserve">For the Buyer:</w:t>
      </w:r>
    </w:p>
    <w:p>
      <w:pPr>
        <w:pStyle w:val="BodyText"/>
      </w:pPr>
      <w:r>
        <w:t xml:space="preserve">Alexander Petrov</w:t>
      </w:r>
    </w:p>
    <w:p>
      <w:pPr>
        <w:pStyle w:val="BodyText"/>
      </w:pPr>
      <w:r>
        <w:t xml:space="preserve">Head of Procurement</w:t>
      </w:r>
    </w:p>
    <w:p>
      <w:pPr>
        <w:pStyle w:val="BodyText"/>
      </w:pPr>
      <w:r>
        <w:t xml:space="preserve">Northern Digital Solutions LLC</w:t>
      </w:r>
    </w:p>
    <w:p>
      <w:pPr>
        <w:pStyle w:val="BodyText"/>
      </w:pPr>
      <w:r>
        <w:t xml:space="preserve">Date: _______________</w:t>
      </w:r>
    </w:p>
    <w:p>
      <w:pPr>
        <w:pStyle w:val="BodyText"/>
      </w:pPr>
      <w:r>
        <w:rPr>
          <w:bCs/>
          <w:b/>
        </w:rPr>
        <w:t xml:space="preserve">For the Supplier:</w:t>
      </w:r>
    </w:p>
    <w:p>
      <w:pPr>
        <w:pStyle w:val="BodyText"/>
      </w:pPr>
      <w:r>
        <w:t xml:space="preserve">Elena Volkova</w:t>
      </w:r>
    </w:p>
    <w:p>
      <w:pPr>
        <w:pStyle w:val="BodyText"/>
      </w:pPr>
      <w:r>
        <w:t xml:space="preserve">Account Director</w:t>
      </w:r>
    </w:p>
    <w:p>
      <w:pPr>
        <w:pStyle w:val="BodyText"/>
      </w:pPr>
      <w:r>
        <w:t xml:space="preserve">Baltic Design Studio OOO</w:t>
      </w:r>
    </w:p>
    <w:p>
      <w:pPr>
        <w:pStyle w:val="BodyText"/>
      </w:pPr>
      <w:r>
        <w:t xml:space="preserve">Date: _______________</w:t>
      </w:r>
    </w:p>
    <w:p>
      <w:pPr>
        <w:pStyle w:val="BodyText"/>
      </w:pPr>
      <w:r>
        <w:t xml:space="preserve">Purchase Order No. RU-SPB-2025-04782 | Issued in Russia Saint Petersburg, Russian Federation</w:t>
      </w:r>
    </w:p>
    <w:p>
      <w:pPr>
        <w:pStyle w:val="BodyText"/>
      </w:pPr>
      <w:r>
        <w:t xml:space="preserve">This document is generated electronically and carries the same legal weight as a signed original.</w:t>
      </w:r>
    </w:p>
    <w:p>
      <w:pPr>
        <w:pStyle w:val="BodyText"/>
      </w:pPr>
      <w:r>
        <w:t xml:space="preserve">© 2025 Northern Digital Solutions LLC.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UX UI Designer Services - Russia Saint Petersburg</dc:title>
  <dc:creator/>
  <dc:language>en</dc:language>
  <cp:keywords/>
  <dcterms:created xsi:type="dcterms:W3CDTF">2026-10-10T08:12:24Z</dcterms:created>
  <dcterms:modified xsi:type="dcterms:W3CDTF">2026-10-10T08:12:24Z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