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PO-SUD-KRT-2025-0047 | Classification: Commercial / Confidential</w:t>
      </w:r>
    </w:p>
    <w:bookmarkEnd w:id="20"/>
    <w:bookmarkStart w:id="21" w:name="issuing-party-buyer"/>
    <w:p>
      <w:pPr>
        <w:pStyle w:val="Heading3"/>
      </w:pPr>
      <w:r>
        <w:t xml:space="preserve">Issuing Party (Buyer)</w:t>
      </w:r>
    </w:p>
    <w:p>
      <w:pPr>
        <w:pStyle w:val="FirstParagraph"/>
      </w:pPr>
      <w:r>
        <w:rPr>
          <w:bCs/>
          <w:b/>
        </w:rPr>
        <w:t xml:space="preserve">Company:</w:t>
      </w:r>
      <w:r>
        <w:t xml:space="preserve"> </w:t>
      </w:r>
      <w:r>
        <w:t xml:space="preserve">Nile Digital Solutions Ltd.</w:t>
      </w:r>
    </w:p>
    <w:p>
      <w:pPr>
        <w:pStyle w:val="BodyText"/>
      </w:pPr>
      <w:r>
        <w:rPr>
          <w:bCs/>
          <w:b/>
        </w:rPr>
        <w:t xml:space="preserve">Address:</w:t>
      </w:r>
      <w:r>
        <w:t xml:space="preserve"> </w:t>
      </w:r>
      <w:r>
        <w:t xml:space="preserve">142 El-Mahdi Street, Omdurman, Sudan Khartoum</w:t>
      </w:r>
    </w:p>
    <w:p>
      <w:pPr>
        <w:pStyle w:val="BodyText"/>
      </w:pPr>
      <w:r>
        <w:rPr>
          <w:bCs/>
          <w:b/>
        </w:rPr>
        <w:t xml:space="preserve">Contact:</w:t>
      </w:r>
      <w:r>
        <w:t xml:space="preserve"> </w:t>
      </w:r>
      <w:r>
        <w:t xml:space="preserve">procurement@niledigital.sd</w:t>
      </w:r>
    </w:p>
    <w:p>
      <w:pPr>
        <w:pStyle w:val="BodyText"/>
      </w:pPr>
      <w:r>
        <w:rPr>
          <w:bCs/>
          <w:b/>
        </w:rPr>
        <w:t xml:space="preserve">Phone:</w:t>
      </w:r>
      <w:r>
        <w:t xml:space="preserve"> </w:t>
      </w:r>
      <w:r>
        <w:t xml:space="preserve">+249-183-555-0142</w:t>
      </w:r>
    </w:p>
    <w:p>
      <w:pPr>
        <w:pStyle w:val="BodyText"/>
      </w:pPr>
      <w:r>
        <w:rPr>
          <w:bCs/>
          <w:b/>
        </w:rPr>
        <w:t xml:space="preserve">Tax ID:</w:t>
      </w:r>
      <w:r>
        <w:t xml:space="preserve"> </w:t>
      </w:r>
      <w:r>
        <w:t xml:space="preserve">SD-TRX-2019-88432</w:t>
      </w:r>
    </w:p>
    <w:bookmarkEnd w:id="21"/>
    <w:bookmarkStart w:id="22" w:name="receiving-party-supplier"/>
    <w:p>
      <w:pPr>
        <w:pStyle w:val="Heading3"/>
      </w:pPr>
      <w:r>
        <w:t xml:space="preserve">Receiving Party (Supplier)</w:t>
      </w:r>
    </w:p>
    <w:p>
      <w:pPr>
        <w:pStyle w:val="FirstParagraph"/>
      </w:pPr>
      <w:r>
        <w:rPr>
          <w:bCs/>
          <w:b/>
        </w:rPr>
        <w:t xml:space="preserve">Company:</w:t>
      </w:r>
      <w:r>
        <w:t xml:space="preserve"> </w:t>
      </w:r>
      <w:r>
        <w:t xml:space="preserve">Khartoum Creative Design Studio</w:t>
      </w:r>
    </w:p>
    <w:p>
      <w:pPr>
        <w:pStyle w:val="BodyText"/>
      </w:pPr>
      <w:r>
        <w:rPr>
          <w:bCs/>
          <w:b/>
        </w:rPr>
        <w:t xml:space="preserve">Address:</w:t>
      </w:r>
      <w:r>
        <w:t xml:space="preserve"> </w:t>
      </w:r>
      <w:r>
        <w:t xml:space="preserve">87 Al-Nil Road, Al-Shamlika, Sudan Khartoum</w:t>
      </w:r>
    </w:p>
    <w:p>
      <w:pPr>
        <w:pStyle w:val="BodyText"/>
      </w:pPr>
      <w:r>
        <w:rPr>
          <w:bCs/>
          <w:b/>
        </w:rPr>
        <w:t xml:space="preserve">Contact:</w:t>
      </w:r>
      <w:r>
        <w:t xml:space="preserve"> </w:t>
      </w:r>
      <w:r>
        <w:t xml:space="preserve">info@khartoumcreative.sd</w:t>
      </w:r>
    </w:p>
    <w:p>
      <w:pPr>
        <w:pStyle w:val="BodyText"/>
      </w:pPr>
      <w:r>
        <w:rPr>
          <w:bCs/>
          <w:b/>
        </w:rPr>
        <w:t xml:space="preserve">Phone:</w:t>
      </w:r>
      <w:r>
        <w:t xml:space="preserve"> </w:t>
      </w:r>
      <w:r>
        <w:t xml:space="preserve">+249-183-772-9931</w:t>
      </w:r>
    </w:p>
    <w:p>
      <w:pPr>
        <w:pStyle w:val="BodyText"/>
      </w:pPr>
      <w:r>
        <w:rPr>
          <w:bCs/>
          <w:b/>
        </w:rPr>
        <w:t xml:space="preserve">Tax ID:</w:t>
      </w:r>
      <w:r>
        <w:t xml:space="preserve"> </w:t>
      </w:r>
      <w:r>
        <w:t xml:space="preserve">SD-TRX-2021-11207</w:t>
      </w:r>
    </w:p>
    <w:bookmarkEnd w:id="22"/>
    <w:p>
      <w:pPr>
        <w:pStyle w:val="BodyText"/>
      </w:pPr>
      <w:r>
        <w:rPr>
          <w:bCs/>
          <w:b/>
        </w:rPr>
        <w:t xml:space="preserve">Purchase Order No.:</w:t>
      </w:r>
      <w:r>
        <w:t xml:space="preserve"> </w:t>
      </w:r>
      <w:r>
        <w:t xml:space="preserve">PO-SUD-KRT-2025-0047</w:t>
      </w:r>
    </w:p>
    <w:p>
      <w:pPr>
        <w:pStyle w:val="BodyText"/>
      </w:pPr>
      <w:r>
        <w:rPr>
          <w:bCs/>
          <w:b/>
        </w:rPr>
        <w:t xml:space="preserve">Date of Issue:</w:t>
      </w:r>
      <w:r>
        <w:t xml:space="preserve"> </w:t>
      </w:r>
      <w:r>
        <w:t xml:space="preserve">15 June 2025</w:t>
      </w:r>
    </w:p>
    <w:p>
      <w:pPr>
        <w:pStyle w:val="BodyText"/>
      </w:pPr>
      <w:r>
        <w:rPr>
          <w:bCs/>
          <w:b/>
        </w:rPr>
        <w:t xml:space="preserve">Required Start Date:</w:t>
      </w:r>
      <w:r>
        <w:t xml:space="preserve"> </w:t>
      </w:r>
      <w:r>
        <w:t xml:space="preserve">1 July 2025</w:t>
      </w:r>
    </w:p>
    <w:p>
      <w:pPr>
        <w:pStyle w:val="BodyText"/>
      </w:pPr>
      <w:r>
        <w:rPr>
          <w:bCs/>
          <w:b/>
        </w:rPr>
        <w:t xml:space="preserve">Project Duration:</w:t>
      </w:r>
      <w:r>
        <w:t xml:space="preserve"> </w:t>
      </w:r>
      <w:r>
        <w:t xml:space="preserve">6 Months</w:t>
      </w:r>
    </w:p>
    <w:p>
      <w:pPr>
        <w:pStyle w:val="BodyText"/>
      </w:pPr>
      <w:r>
        <w:rPr>
          <w:bCs/>
          <w:b/>
        </w:rPr>
        <w:t xml:space="preserve">Payment Terms:</w:t>
      </w:r>
      <w:r>
        <w:t xml:space="preserve"> </w:t>
      </w:r>
      <w:r>
        <w:t xml:space="preserve">Net 30 Days</w:t>
      </w:r>
    </w:p>
    <w:p>
      <w:pPr>
        <w:pStyle w:val="BodyText"/>
      </w:pPr>
      <w:r>
        <w:rPr>
          <w:bCs/>
          <w:b/>
        </w:rPr>
        <w:t xml:space="preserve">Project Location:</w:t>
      </w:r>
      <w:r>
        <w:t xml:space="preserve"> </w:t>
      </w:r>
      <w:r>
        <w:t xml:space="preserve">Sudan Khartoum</w:t>
      </w:r>
    </w:p>
    <w:bookmarkStart w:id="23" w:name="description-of-services"/>
    <w:p>
      <w:pPr>
        <w:pStyle w:val="Heading2"/>
      </w:pPr>
      <w:r>
        <w:t xml:space="preserve">1. Description of Services</w:t>
      </w:r>
    </w:p>
    <w:p>
      <w:pPr>
        <w:pStyle w:val="FirstParagraph"/>
      </w:pPr>
      <w:r>
        <w:t xml:space="preserve">This Purchase Order is issued by Nile Digital Solutions Ltd. to formally engage the services of a qualified</w:t>
      </w:r>
      <w:r>
        <w:t xml:space="preserve"> </w:t>
      </w:r>
      <w:r>
        <w:t xml:space="preserve">UX UI Designer</w:t>
      </w:r>
      <w:r>
        <w:t xml:space="preserve"> </w:t>
      </w:r>
      <w:r>
        <w:t xml:space="preserve">to deliver comprehensive user experience and user interface design solutions for the company's flagship digital platform. The engagement is based in</w:t>
      </w:r>
      <w:r>
        <w:t xml:space="preserve"> </w:t>
      </w:r>
      <w:r>
        <w:t xml:space="preserve">Sudan Khartoum</w:t>
      </w:r>
      <w:r>
        <w:t xml:space="preserve">, and all on-site work, client meetings, and collaborative design sessions shall be conducted at the supplier's designated workspace located in Al-Shamlika, Sudan Khartoum, or at the buyer's premises in Omdurman, Sudan Khartoum, as mutually agreed upon for each project phase.</w:t>
      </w:r>
    </w:p>
    <w:p>
      <w:pPr>
        <w:pStyle w:val="BodyText"/>
      </w:pPr>
      <w:r>
        <w:t xml:space="preserve">The</w:t>
      </w:r>
      <w:r>
        <w:t xml:space="preserve"> </w:t>
      </w:r>
      <w:r>
        <w:t xml:space="preserve">UX UI Designer</w:t>
      </w:r>
      <w:r>
        <w:t xml:space="preserve"> </w:t>
      </w:r>
      <w:r>
        <w:t xml:space="preserve">shall be responsible for conducting user research, creating wireframes, developing high-fidelity mockups, building interactive prototypes, establishing a comprehensive design system, and ensuring that all digital products meet the accessibility and usability standards required for the Sudanese market and broader East African user base.</w:t>
      </w:r>
    </w:p>
    <w:bookmarkEnd w:id="23"/>
    <w:bookmarkStart w:id="24" w:name="scope-of-work-and-deliverables"/>
    <w:p>
      <w:pPr>
        <w:pStyle w:val="Heading2"/>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Deliverable</w:t>
            </w:r>
          </w:p>
        </w:tc>
        <w:tc>
          <w:tcPr/>
          <w:p>
            <w:pPr>
              <w:pStyle w:val="Compact"/>
              <w:jc w:val="left"/>
            </w:pPr>
            <w:r>
              <w:t xml:space="preserve">Description</w:t>
            </w:r>
          </w:p>
        </w:tc>
        <w:tc>
          <w:tcPr/>
          <w:p>
            <w:pPr>
              <w:pStyle w:val="Compact"/>
              <w:jc w:val="left"/>
            </w:pPr>
            <w:r>
              <w:t xml:space="preserve">Timeline</w:t>
            </w:r>
          </w:p>
        </w:tc>
        <w:tc>
          <w:tcPr/>
          <w:p>
            <w:pPr>
              <w:pStyle w:val="Compact"/>
              <w:jc w:val="left"/>
            </w:pPr>
            <w:r>
              <w:t xml:space="preserve">Qty</w:t>
            </w:r>
          </w:p>
        </w:tc>
      </w:tr>
      <w:tr>
        <w:tc>
          <w:tcPr/>
          <w:p>
            <w:pPr>
              <w:pStyle w:val="Compact"/>
              <w:jc w:val="left"/>
            </w:pPr>
            <w:r>
              <w:t xml:space="preserve">1</w:t>
            </w:r>
          </w:p>
        </w:tc>
        <w:tc>
          <w:tcPr/>
          <w:p>
            <w:pPr>
              <w:pStyle w:val="Compact"/>
              <w:jc w:val="left"/>
            </w:pPr>
            <w:r>
              <w:t xml:space="preserve">User Research &amp; Personas</w:t>
            </w:r>
          </w:p>
        </w:tc>
        <w:tc>
          <w:tcPr/>
          <w:p>
            <w:pPr>
              <w:pStyle w:val="Compact"/>
              <w:jc w:val="left"/>
            </w:pPr>
            <w:r>
              <w:t xml:space="preserve">Conduct 20+ user interviews in Sudan Khartoum, develop 5 detailed user personas, and produce a research summary report.</w:t>
            </w:r>
          </w:p>
        </w:tc>
        <w:tc>
          <w:tcPr/>
          <w:p>
            <w:pPr>
              <w:pStyle w:val="Compact"/>
              <w:jc w:val="left"/>
            </w:pPr>
            <w:r>
              <w:t xml:space="preserve">Month 1</w:t>
            </w:r>
          </w:p>
        </w:tc>
        <w:tc>
          <w:tcPr/>
          <w:p>
            <w:pPr>
              <w:pStyle w:val="Compact"/>
              <w:jc w:val="left"/>
            </w:pPr>
            <w:r>
              <w:t xml:space="preserve">1 Set</w:t>
            </w:r>
          </w:p>
        </w:tc>
      </w:tr>
      <w:tr>
        <w:tc>
          <w:tcPr/>
          <w:p>
            <w:pPr>
              <w:pStyle w:val="Compact"/>
              <w:jc w:val="left"/>
            </w:pPr>
            <w:r>
              <w:t xml:space="preserve">2</w:t>
            </w:r>
          </w:p>
        </w:tc>
        <w:tc>
          <w:tcPr/>
          <w:p>
            <w:pPr>
              <w:pStyle w:val="Compact"/>
              <w:jc w:val="left"/>
            </w:pPr>
            <w:r>
              <w:t xml:space="preserve">Information Architecture &amp; Wireframes</w:t>
            </w:r>
          </w:p>
        </w:tc>
        <w:tc>
          <w:tcPr/>
          <w:p>
            <w:pPr>
              <w:pStyle w:val="Compact"/>
              <w:jc w:val="left"/>
            </w:pPr>
            <w:r>
              <w:t xml:space="preserve">Deliver complete sitemap, user flow diagrams, and low-fidelity wireframes for all 45+ screens of the platform.</w:t>
            </w:r>
          </w:p>
        </w:tc>
        <w:tc>
          <w:tcPr/>
          <w:p>
            <w:pPr>
              <w:pStyle w:val="Compact"/>
              <w:jc w:val="left"/>
            </w:pPr>
            <w:r>
              <w:t xml:space="preserve">Month 2</w:t>
            </w:r>
          </w:p>
        </w:tc>
        <w:tc>
          <w:tcPr/>
          <w:p>
            <w:pPr>
              <w:pStyle w:val="Compact"/>
              <w:jc w:val="left"/>
            </w:pPr>
            <w:r>
              <w:t xml:space="preserve">1 Set</w:t>
            </w:r>
          </w:p>
        </w:tc>
      </w:tr>
      <w:tr>
        <w:tc>
          <w:tcPr/>
          <w:p>
            <w:pPr>
              <w:pStyle w:val="Compact"/>
              <w:jc w:val="left"/>
            </w:pPr>
            <w:r>
              <w:t xml:space="preserve">3</w:t>
            </w:r>
          </w:p>
        </w:tc>
        <w:tc>
          <w:tcPr/>
          <w:p>
            <w:pPr>
              <w:pStyle w:val="Compact"/>
              <w:jc w:val="left"/>
            </w:pPr>
            <w:r>
              <w:t xml:space="preserve">High-Fidelity UI Mockups</w:t>
            </w:r>
          </w:p>
        </w:tc>
        <w:tc>
          <w:tcPr/>
          <w:p>
            <w:pPr>
              <w:pStyle w:val="Compact"/>
              <w:jc w:val="left"/>
            </w:pPr>
            <w:r>
              <w:t xml:space="preserve">Produce pixel-perfect UI designs in Figma with full design system including color palette, typography, and component library.</w:t>
            </w:r>
          </w:p>
        </w:tc>
        <w:tc>
          <w:tcPr/>
          <w:p>
            <w:pPr>
              <w:pStyle w:val="Compact"/>
              <w:jc w:val="left"/>
            </w:pPr>
            <w:r>
              <w:t xml:space="preserve">Month 3</w:t>
            </w:r>
          </w:p>
        </w:tc>
        <w:tc>
          <w:tcPr/>
          <w:p>
            <w:pPr>
              <w:pStyle w:val="Compact"/>
              <w:jc w:val="left"/>
            </w:pPr>
            <w:r>
              <w:t xml:space="preserve">1 Set</w:t>
            </w:r>
          </w:p>
        </w:tc>
      </w:tr>
      <w:tr>
        <w:tc>
          <w:tcPr/>
          <w:p>
            <w:pPr>
              <w:pStyle w:val="Compact"/>
              <w:jc w:val="left"/>
            </w:pPr>
            <w:r>
              <w:t xml:space="preserve">4</w:t>
            </w:r>
          </w:p>
        </w:tc>
        <w:tc>
          <w:tcPr/>
          <w:p>
            <w:pPr>
              <w:pStyle w:val="Compact"/>
              <w:jc w:val="left"/>
            </w:pPr>
            <w:r>
              <w:t xml:space="preserve">Interactive Prototype</w:t>
            </w:r>
          </w:p>
        </w:tc>
        <w:tc>
          <w:tcPr/>
          <w:p>
            <w:pPr>
              <w:pStyle w:val="Compact"/>
              <w:jc w:val="left"/>
            </w:pPr>
            <w:r>
              <w:t xml:space="preserve">Build a clickable, navigable prototype for stakeholder review and user testing sessions in Sudan Khartoum.</w:t>
            </w:r>
          </w:p>
        </w:tc>
        <w:tc>
          <w:tcPr/>
          <w:p>
            <w:pPr>
              <w:pStyle w:val="Compact"/>
              <w:jc w:val="left"/>
            </w:pPr>
            <w:r>
              <w:t xml:space="preserve">Month 4</w:t>
            </w:r>
          </w:p>
        </w:tc>
        <w:tc>
          <w:tcPr/>
          <w:p>
            <w:pPr>
              <w:pStyle w:val="Compact"/>
              <w:jc w:val="left"/>
            </w:pPr>
            <w:r>
              <w:t xml:space="preserve">1 Set</w:t>
            </w:r>
          </w:p>
        </w:tc>
      </w:tr>
      <w:tr>
        <w:tc>
          <w:tcPr/>
          <w:p>
            <w:pPr>
              <w:pStyle w:val="Compact"/>
              <w:jc w:val="left"/>
            </w:pPr>
            <w:r>
              <w:t xml:space="preserve">5</w:t>
            </w:r>
          </w:p>
        </w:tc>
        <w:tc>
          <w:tcPr/>
          <w:p>
            <w:pPr>
              <w:pStyle w:val="Compact"/>
              <w:jc w:val="left"/>
            </w:pPr>
            <w:r>
              <w:t xml:space="preserve">Usability Testing &amp; Iteration</w:t>
            </w:r>
          </w:p>
        </w:tc>
        <w:tc>
          <w:tcPr/>
          <w:p>
            <w:pPr>
              <w:pStyle w:val="Compact"/>
              <w:jc w:val="left"/>
            </w:pPr>
            <w:r>
              <w:t xml:space="preserve">Facilitate 3 rounds of usability testing with local users in Sudan Khartoum, incorporate feedback, and refine all designs.</w:t>
            </w:r>
          </w:p>
        </w:tc>
        <w:tc>
          <w:tcPr/>
          <w:p>
            <w:pPr>
              <w:pStyle w:val="Compact"/>
              <w:jc w:val="left"/>
            </w:pPr>
            <w:r>
              <w:t xml:space="preserve">Month 5</w:t>
            </w:r>
          </w:p>
        </w:tc>
        <w:tc>
          <w:tcPr/>
          <w:p>
            <w:pPr>
              <w:pStyle w:val="Compact"/>
              <w:jc w:val="left"/>
            </w:pPr>
            <w:r>
              <w:t xml:space="preserve">3 Rounds</w:t>
            </w:r>
          </w:p>
        </w:tc>
      </w:tr>
      <w:tr>
        <w:tc>
          <w:tcPr/>
          <w:p>
            <w:pPr>
              <w:pStyle w:val="Compact"/>
              <w:jc w:val="left"/>
            </w:pPr>
            <w:r>
              <w:t xml:space="preserve">6</w:t>
            </w:r>
          </w:p>
        </w:tc>
        <w:tc>
          <w:tcPr/>
          <w:p>
            <w:pPr>
              <w:pStyle w:val="Compact"/>
              <w:jc w:val="left"/>
            </w:pPr>
            <w:r>
              <w:t xml:space="preserve">Final Design Handoff &amp; Documentation</w:t>
            </w:r>
          </w:p>
        </w:tc>
        <w:tc>
          <w:tcPr/>
          <w:p>
            <w:pPr>
              <w:pStyle w:val="Compact"/>
              <w:jc w:val="left"/>
            </w:pPr>
            <w:r>
              <w:t xml:space="preserve">Deliver annotated design files, developer handoff documentation, and a complete UX UI Designer style guide.</w:t>
            </w:r>
          </w:p>
        </w:tc>
        <w:tc>
          <w:tcPr/>
          <w:p>
            <w:pPr>
              <w:pStyle w:val="Compact"/>
              <w:jc w:val="left"/>
            </w:pPr>
            <w:r>
              <w:t xml:space="preserve">Month 6</w:t>
            </w:r>
          </w:p>
        </w:tc>
        <w:tc>
          <w:tcPr/>
          <w:p>
            <w:pPr>
              <w:pStyle w:val="Compact"/>
              <w:jc w:val="left"/>
            </w:pPr>
            <w:r>
              <w:t xml:space="preserve">1 Set</w:t>
            </w:r>
          </w:p>
        </w:tc>
      </w:tr>
    </w:tbl>
    <w:bookmarkEnd w:id="24"/>
    <w:bookmarkStart w:id="25" w:name="financial-summary"/>
    <w:p>
      <w:pPr>
        <w:pStyle w:val="Heading2"/>
      </w:pPr>
      <w:r>
        <w:t xml:space="preserve">3. Financial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Unit Price (SDG)</w:t>
            </w:r>
          </w:p>
        </w:tc>
        <w:tc>
          <w:tcPr/>
          <w:p>
            <w:pPr>
              <w:pStyle w:val="Compact"/>
              <w:jc w:val="left"/>
            </w:pPr>
            <w:r>
              <w:t xml:space="preserve">Quantity</w:t>
            </w:r>
          </w:p>
        </w:tc>
        <w:tc>
          <w:tcPr/>
          <w:p>
            <w:pPr>
              <w:pStyle w:val="Compact"/>
              <w:jc w:val="left"/>
            </w:pPr>
            <w:r>
              <w:t xml:space="preserve">Amount (SDG)</w:t>
            </w:r>
          </w:p>
        </w:tc>
      </w:tr>
      <w:tr>
        <w:tc>
          <w:tcPr/>
          <w:p>
            <w:pPr>
              <w:pStyle w:val="Compact"/>
              <w:jc w:val="left"/>
            </w:pPr>
            <w:r>
              <w:t xml:space="preserve">UX UI Designer – Monthly Retainer (6 months)</w:t>
            </w:r>
          </w:p>
        </w:tc>
        <w:tc>
          <w:tcPr/>
          <w:p>
            <w:pPr>
              <w:pStyle w:val="Compact"/>
              <w:jc w:val="left"/>
            </w:pPr>
            <w:r>
              <w:t xml:space="preserve">850,000</w:t>
            </w:r>
          </w:p>
        </w:tc>
        <w:tc>
          <w:tcPr/>
          <w:p>
            <w:pPr>
              <w:pStyle w:val="Compact"/>
              <w:jc w:val="left"/>
            </w:pPr>
            <w:r>
              <w:t xml:space="preserve">6</w:t>
            </w:r>
          </w:p>
        </w:tc>
        <w:tc>
          <w:tcPr/>
          <w:p>
            <w:pPr>
              <w:pStyle w:val="Compact"/>
              <w:jc w:val="left"/>
            </w:pPr>
            <w:r>
              <w:t xml:space="preserve">5,100,000</w:t>
            </w:r>
          </w:p>
        </w:tc>
      </w:tr>
      <w:tr>
        <w:tc>
          <w:tcPr/>
          <w:p>
            <w:pPr>
              <w:pStyle w:val="Compact"/>
              <w:jc w:val="left"/>
            </w:pPr>
            <w:r>
              <w:t xml:space="preserve">User Research &amp; Fieldwork in Sudan Khartoum</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Usability Testing Sessions (3 rounds, local participants)</w:t>
            </w:r>
          </w:p>
        </w:tc>
        <w:tc>
          <w:tcPr/>
          <w:p>
            <w:pPr>
              <w:pStyle w:val="Compact"/>
              <w:jc w:val="left"/>
            </w:pPr>
            <w:r>
              <w:t xml:space="preserve">150,000</w:t>
            </w:r>
          </w:p>
        </w:tc>
        <w:tc>
          <w:tcPr/>
          <w:p>
            <w:pPr>
              <w:pStyle w:val="Compact"/>
              <w:jc w:val="left"/>
            </w:pPr>
            <w:r>
              <w:t xml:space="preserve">3</w:t>
            </w:r>
          </w:p>
        </w:tc>
        <w:tc>
          <w:tcPr/>
          <w:p>
            <w:pPr>
              <w:pStyle w:val="Compact"/>
              <w:jc w:val="left"/>
            </w:pPr>
            <w:r>
              <w:t xml:space="preserve">450,000</w:t>
            </w:r>
          </w:p>
        </w:tc>
      </w:tr>
      <w:tr>
        <w:tc>
          <w:tcPr/>
          <w:p>
            <w:pPr>
              <w:pStyle w:val="Compact"/>
              <w:jc w:val="left"/>
            </w:pPr>
            <w:r>
              <w:t xml:space="preserve">Design System &amp; Documentation Package</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Travel &amp; Logistics within Sudan Khartoum</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r>
      <w:tr>
        <w:tc>
          <w:tcPr>
            <w:gridSpan w:val="3"/>
          </w:tcPr>
          <w:p>
            <w:pPr>
              <w:pStyle w:val="Compact"/>
              <w:jc w:val="left"/>
            </w:pPr>
            <w:r>
              <w:rPr>
                <w:bCs/>
                <w:b/>
              </w:rPr>
              <w:t xml:space="preserve">Subtotal</w:t>
            </w:r>
          </w:p>
        </w:tc>
        <w:tc>
          <w:tcPr/>
          <w:p>
            <w:pPr>
              <w:pStyle w:val="Compact"/>
              <w:jc w:val="left"/>
            </w:pPr>
            <w:r>
              <w:rPr>
                <w:bCs/>
                <w:b/>
              </w:rPr>
              <w:t xml:space="preserve">6,245,000</w:t>
            </w:r>
          </w:p>
        </w:tc>
      </w:tr>
      <w:tr>
        <w:tc>
          <w:tcPr>
            <w:gridSpan w:val="3"/>
          </w:tcPr>
          <w:p>
            <w:pPr>
              <w:pStyle w:val="Compact"/>
              <w:jc w:val="left"/>
            </w:pPr>
            <w:r>
              <w:rPr>
                <w:bCs/>
                <w:b/>
              </w:rPr>
              <w:t xml:space="preserve">VAT (10%)</w:t>
            </w:r>
          </w:p>
        </w:tc>
        <w:tc>
          <w:tcPr/>
          <w:p>
            <w:pPr>
              <w:pStyle w:val="Compact"/>
              <w:jc w:val="left"/>
            </w:pPr>
            <w:r>
              <w:rPr>
                <w:bCs/>
                <w:b/>
              </w:rPr>
              <w:t xml:space="preserve">624,500</w:t>
            </w:r>
          </w:p>
        </w:tc>
      </w:tr>
      <w:tr>
        <w:tc>
          <w:tcPr>
            <w:gridSpan w:val="3"/>
          </w:tcPr>
          <w:p>
            <w:pPr>
              <w:pStyle w:val="Compact"/>
              <w:jc w:val="left"/>
            </w:pPr>
            <w:r>
              <w:rPr>
                <w:bCs/>
                <w:b/>
              </w:rPr>
              <w:t xml:space="preserve">TOTAL AMOUNT DUE (SDG)</w:t>
            </w:r>
          </w:p>
        </w:tc>
        <w:tc>
          <w:tcPr/>
          <w:p>
            <w:pPr>
              <w:pStyle w:val="Compact"/>
              <w:jc w:val="left"/>
            </w:pPr>
            <w:r>
              <w:rPr>
                <w:bCs/>
                <w:b/>
              </w:rPr>
              <w:t xml:space="preserve">6,869,500</w:t>
            </w:r>
          </w:p>
        </w:tc>
      </w:tr>
    </w:tbl>
    <w:bookmarkEnd w:id="25"/>
    <w:bookmarkStart w:id="26" w:name="terms-and-conditions"/>
    <w:p>
      <w:pPr>
        <w:pStyle w:val="Heading2"/>
      </w:pPr>
      <w:r>
        <w:t xml:space="preserve">4. Terms and Conditions</w:t>
      </w:r>
    </w:p>
    <w:p>
      <w:pPr>
        <w:numPr>
          <w:ilvl w:val="0"/>
          <w:numId w:val="1001"/>
        </w:numPr>
        <w:pStyle w:val="Compact"/>
      </w:pPr>
      <w:r>
        <w:t xml:space="preserve">This Purchase Order is governed by the commercial laws of the Republic of the Sudan. Any disputes arising from this Purchase Order shall be resolved through arbitration in Sudan Khartoum in accordance with the Sudanese Arbitration Act.</w:t>
      </w:r>
    </w:p>
    <w:p>
      <w:pPr>
        <w:numPr>
          <w:ilvl w:val="0"/>
          <w:numId w:val="1001"/>
        </w:numPr>
        <w:pStyle w:val="Compact"/>
      </w:pPr>
      <w:r>
        <w:t xml:space="preserve">The</w:t>
      </w:r>
      <w:r>
        <w:t xml:space="preserve"> </w:t>
      </w:r>
      <w:r>
        <w:t xml:space="preserve">UX UI Designer</w:t>
      </w:r>
      <w:r>
        <w:t xml:space="preserve"> </w:t>
      </w:r>
      <w:r>
        <w:t xml:space="preserve">shall maintain full confidentiality regarding all proprietary information, user data, and business strategies disclosed during the course of this engagement. A separate Non-Disclosure Agreement (NDA) is attached as Annex A.</w:t>
      </w:r>
    </w:p>
    <w:p>
      <w:pPr>
        <w:numPr>
          <w:ilvl w:val="0"/>
          <w:numId w:val="1001"/>
        </w:numPr>
        <w:pStyle w:val="Compact"/>
      </w:pPr>
      <w:r>
        <w:t xml:space="preserve">All intellectual property rights in the final deliverables, including but not limited to wireframes, mockups, prototypes, and the design system, shall transfer exclusively to Nile Digital Solutions Ltd. upon full payment of this Purchase Order.</w:t>
      </w:r>
    </w:p>
    <w:p>
      <w:pPr>
        <w:numPr>
          <w:ilvl w:val="0"/>
          <w:numId w:val="1001"/>
        </w:numPr>
        <w:pStyle w:val="Compact"/>
      </w:pPr>
      <w:r>
        <w:t xml:space="preserve">The</w:t>
      </w:r>
      <w:r>
        <w:t xml:space="preserve"> </w:t>
      </w:r>
      <w:r>
        <w:t xml:space="preserve">UX UI Designer</w:t>
      </w:r>
      <w:r>
        <w:t xml:space="preserve"> </w:t>
      </w:r>
      <w:r>
        <w:t xml:space="preserve">is required to be physically present in Sudan Khartoum for a minimum of 40 hours per week during the project duration. Remote work may be permitted for up to 2 days per week with prior written approval from the buyer's project manager.</w:t>
      </w:r>
    </w:p>
    <w:p>
      <w:pPr>
        <w:numPr>
          <w:ilvl w:val="0"/>
          <w:numId w:val="1001"/>
        </w:numPr>
        <w:pStyle w:val="Compact"/>
      </w:pPr>
      <w:r>
        <w:t xml:space="preserve">Payment shall be made in monthly installments of SDG 1,144,916.67 (inclusive of VAT) via bank transfer to the supplier's account at Bank of Khartoum, Sudan Khartoum branch. Invoices must be submitted by the 5th of each month for the preceding month's work.</w:t>
      </w:r>
    </w:p>
    <w:p>
      <w:pPr>
        <w:numPr>
          <w:ilvl w:val="0"/>
          <w:numId w:val="1001"/>
        </w:numPr>
        <w:pStyle w:val="Compact"/>
      </w:pPr>
      <w:r>
        <w:t xml:space="preserve">The buyer reserves the right to request up to two (2) rounds of revisions per deliverable at no additional cost. Revisions beyond this scope shall be billed at the hourly rate of SDG 12,000 per hour.</w:t>
      </w:r>
    </w:p>
    <w:p>
      <w:pPr>
        <w:numPr>
          <w:ilvl w:val="0"/>
          <w:numId w:val="1001"/>
        </w:numPr>
        <w:pStyle w:val="Compact"/>
      </w:pPr>
      <w:r>
        <w:t xml:space="preserve">Either party may terminate this Purchase Order with 30 days' written notice. In the event of early termination, the buyer shall pay for all work completed and accepted up to the termination date.</w:t>
      </w:r>
    </w:p>
    <w:p>
      <w:pPr>
        <w:numPr>
          <w:ilvl w:val="0"/>
          <w:numId w:val="1001"/>
        </w:numPr>
        <w:pStyle w:val="Compact"/>
      </w:pPr>
      <w:r>
        <w:t xml:space="preserve">All work shall comply with the Sudanese Standards and Metrology Organization (SSMO) guidelines for digital accessibility where applicable, and shall be culturally appropriate for users in Sudan Khartoum and the wider Sudanese population.</w:t>
      </w:r>
    </w:p>
    <w:p>
      <w:pPr>
        <w:numPr>
          <w:ilvl w:val="0"/>
          <w:numId w:val="1001"/>
        </w:numPr>
        <w:pStyle w:val="Compact"/>
      </w:pPr>
      <w:r>
        <w:t xml:space="preserve">The</w:t>
      </w:r>
      <w:r>
        <w:t xml:space="preserve"> </w:t>
      </w:r>
      <w:r>
        <w:t xml:space="preserve">UX UI Designer</w:t>
      </w:r>
      <w:r>
        <w:t xml:space="preserve"> </w:t>
      </w:r>
      <w:r>
        <w:t xml:space="preserve">shall provide weekly progress reports every Friday and attend bi-weekly stakeholder review meetings held at the buyer's office in Omdurman, Sudan Khartoum.</w:t>
      </w:r>
    </w:p>
    <w:p>
      <w:pPr>
        <w:numPr>
          <w:ilvl w:val="0"/>
          <w:numId w:val="1001"/>
        </w:numPr>
        <w:pStyle w:val="Compact"/>
      </w:pPr>
      <w:r>
        <w:t xml:space="preserve">This Purchase Order becomes effective upon signature by both parties and remains valid for the duration of the six-month project period unless extended by mutual written agreement.</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and specifications outlined in this Purchase Order for the engagement of a</w:t>
      </w:r>
      <w:r>
        <w:t xml:space="preserve"> </w:t>
      </w:r>
      <w:r>
        <w:t xml:space="preserve">UX UI Designer</w:t>
      </w:r>
      <w:r>
        <w:t xml:space="preserve"> </w:t>
      </w:r>
      <w:r>
        <w:t xml:space="preserve">based in</w:t>
      </w:r>
      <w:r>
        <w:t xml:space="preserve"> </w:t>
      </w:r>
      <w:r>
        <w:t xml:space="preserve">Sudan Khartoum</w:t>
      </w:r>
      <w:r>
        <w:t xml:space="preserve">.</w:t>
      </w:r>
    </w:p>
    <w:p>
      <w:pPr>
        <w:pStyle w:val="BodyText"/>
      </w:pPr>
      <w:r>
        <w:rPr>
          <w:bCs/>
          <w:b/>
        </w:rPr>
        <w:t xml:space="preserve">For and on behalf of Nile Digital Solutions Ltd. (Buyer)</w:t>
      </w:r>
    </w:p>
    <w:p>
      <w:pPr>
        <w:pStyle w:val="BodyText"/>
      </w:pPr>
      <w:r>
        <w:rPr>
          <w:bCs/>
          <w:b/>
        </w:rPr>
        <w:t xml:space="preserve">Name:</w:t>
      </w:r>
      <w:r>
        <w:t xml:space="preserve"> </w:t>
      </w:r>
      <w:r>
        <w:t xml:space="preserve">Eng. Ahmed El-Tahir Osman</w:t>
      </w:r>
    </w:p>
    <w:p>
      <w:pPr>
        <w:pStyle w:val="BodyText"/>
      </w:pPr>
      <w:r>
        <w:rPr>
          <w:bCs/>
          <w:b/>
        </w:rPr>
        <w:t xml:space="preserve">Title:</w:t>
      </w:r>
      <w:r>
        <w:t xml:space="preserve"> </w:t>
      </w:r>
      <w:r>
        <w:t xml:space="preserve">Chief Procurement Officer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rPr>
          <w:bCs/>
          <w:b/>
        </w:rPr>
        <w:t xml:space="preserve">For and on behalf of Khartoum Creative Design Studio (Supplier)</w:t>
      </w:r>
    </w:p>
    <w:p>
      <w:pPr>
        <w:pStyle w:val="BodyText"/>
      </w:pPr>
      <w:r>
        <w:rPr>
          <w:bCs/>
          <w:b/>
        </w:rPr>
        <w:t xml:space="preserve">Name:</w:t>
      </w:r>
      <w:r>
        <w:t xml:space="preserve"> </w:t>
      </w:r>
      <w:r>
        <w:t xml:space="preserve">Ms. Fatima Ibrahim Abdelrahman</w:t>
      </w:r>
    </w:p>
    <w:p>
      <w:pPr>
        <w:pStyle w:val="BodyText"/>
      </w:pPr>
      <w:r>
        <w:rPr>
          <w:bCs/>
          <w:b/>
        </w:rPr>
        <w:t xml:space="preserve">Title:</w:t>
      </w:r>
      <w:r>
        <w:t xml:space="preserve"> </w:t>
      </w:r>
      <w:r>
        <w:t xml:space="preserve">Lead UX UI Designer / Managing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t xml:space="preserve">This Purchase Order (PO-SUD-KRT-2025-0047) is a legally binding document issued in accordance with the procurement policies of Nile Digital Solutions Ltd. and the commercial regulations of the Republic of the Sudan. All references to Sudan Khartoum in this document denote the geographic and administrative jurisdiction in which services are to be rendered. The term UX UI Designer refers to the specific professional role and skill set required for this engagement. This document is valid only when bearing the original wet-ink signatures of both authorized representatives.</w:t>
      </w:r>
    </w:p>
    <w:p>
      <w:pPr>
        <w:pStyle w:val="BodyText"/>
      </w:pPr>
      <w:r>
        <w:t xml:space="preserve">Document Version: 1.0 | Generated: 15 June 2025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Sudan Khartoum</dc:title>
  <dc:creator/>
  <dc:language>en</dc:language>
  <cp:keywords/>
  <dcterms:created xsi:type="dcterms:W3CDTF">2026-10-10T09:53:18Z</dcterms:created>
  <dcterms:modified xsi:type="dcterms:W3CDTF">2026-10-10T09:53:18Z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