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Professional Services Procurement Document — UX UI Designer Engagement</w:t>
      </w:r>
    </w:p>
    <w:bookmarkEnd w:id="20"/>
    <w:p>
      <w:pPr>
        <w:pStyle w:val="BodyText"/>
      </w:pPr>
      <w:r>
        <w:rPr>
          <w:bCs/>
          <w:b/>
        </w:rPr>
        <w:t xml:space="preserve">Purchase Order No.:</w:t>
      </w:r>
      <w:r>
        <w:t xml:space="preserve"> </w:t>
      </w:r>
      <w:r>
        <w:t xml:space="preserve">PO-UAE-ABH-2025-04782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 Noor Digital Solutions LLC</w:t>
      </w:r>
    </w:p>
    <w:p>
      <w:pPr>
        <w:pStyle w:val="BodyText"/>
      </w:pPr>
      <w:r>
        <w:rPr>
          <w:bCs/>
          <w:b/>
        </w:rPr>
        <w:t xml:space="preserve">Address:</w:t>
      </w:r>
      <w:r>
        <w:t xml:space="preserve"> </w:t>
      </w:r>
      <w:r>
        <w:t xml:space="preserve">Office 1204, Level 12, Al Reem Island Tower, Corniche Road, United Arab Emirates Abu Dhabi</w:t>
      </w:r>
    </w:p>
    <w:p>
      <w:pPr>
        <w:pStyle w:val="BodyText"/>
      </w:pPr>
      <w:r>
        <w:rPr>
          <w:bCs/>
          <w:b/>
        </w:rPr>
        <w:t xml:space="preserve">TRN:</w:t>
      </w:r>
      <w:r>
        <w:t xml:space="preserve"> </w:t>
      </w:r>
      <w:r>
        <w:t xml:space="preserve">100345678000003</w:t>
      </w:r>
    </w:p>
    <w:p>
      <w:pPr>
        <w:pStyle w:val="BodyText"/>
      </w:pPr>
      <w:r>
        <w:rPr>
          <w:bCs/>
          <w:b/>
        </w:rPr>
        <w:t xml:space="preserve">Contact:</w:t>
      </w:r>
      <w:r>
        <w:t xml:space="preserve"> </w:t>
      </w:r>
      <w:r>
        <w:t xml:space="preserve">Mr. Khalid Al Mansoori, Head of Procurement</w:t>
      </w:r>
    </w:p>
    <w:p>
      <w:pPr>
        <w:pStyle w:val="BodyText"/>
      </w:pPr>
      <w:r>
        <w:rPr>
          <w:bCs/>
          <w:b/>
        </w:rPr>
        <w:t xml:space="preserve">Email:</w:t>
      </w:r>
      <w:r>
        <w:t xml:space="preserve"> </w:t>
      </w:r>
      <w:r>
        <w:t xml:space="preserve">procurement@alnoordigital.ae</w:t>
      </w:r>
    </w:p>
    <w:p>
      <w:pPr>
        <w:pStyle w:val="BodyText"/>
      </w:pPr>
      <w:r>
        <w:rPr>
          <w:bCs/>
          <w:b/>
        </w:rPr>
        <w:t xml:space="preserve">Phone:</w:t>
      </w:r>
      <w:r>
        <w:t xml:space="preserve"> </w:t>
      </w:r>
      <w:r>
        <w:t xml:space="preserve">+971 2 555 0142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PixelCraft Design Studio FZ-LLC</w:t>
      </w:r>
    </w:p>
    <w:p>
      <w:pPr>
        <w:pStyle w:val="BodyText"/>
      </w:pPr>
      <w:r>
        <w:rPr>
          <w:bCs/>
          <w:b/>
        </w:rPr>
        <w:t xml:space="preserve">Address:</w:t>
      </w:r>
      <w:r>
        <w:t xml:space="preserve"> </w:t>
      </w:r>
      <w:r>
        <w:t xml:space="preserve">Unit 7, Building C, Al Ain Free Zone, United Arab Emirates Abu Dhabi</w:t>
      </w:r>
    </w:p>
    <w:p>
      <w:pPr>
        <w:pStyle w:val="BodyText"/>
      </w:pPr>
      <w:r>
        <w:rPr>
          <w:bCs/>
          <w:b/>
        </w:rPr>
        <w:t xml:space="preserve">TRN:</w:t>
      </w:r>
      <w:r>
        <w:t xml:space="preserve"> </w:t>
      </w:r>
      <w:r>
        <w:t xml:space="preserve">100987654000003</w:t>
      </w:r>
    </w:p>
    <w:p>
      <w:pPr>
        <w:pStyle w:val="BodyText"/>
      </w:pPr>
      <w:r>
        <w:rPr>
          <w:bCs/>
          <w:b/>
        </w:rPr>
        <w:t xml:space="preserve">Contact:</w:t>
      </w:r>
      <w:r>
        <w:t xml:space="preserve"> </w:t>
      </w:r>
      <w:r>
        <w:t xml:space="preserve">Ms. Sarah Al Farsi, Account Director</w:t>
      </w:r>
    </w:p>
    <w:p>
      <w:pPr>
        <w:pStyle w:val="BodyText"/>
      </w:pPr>
      <w:r>
        <w:rPr>
          <w:bCs/>
          <w:b/>
        </w:rPr>
        <w:t xml:space="preserve">Email:</w:t>
      </w:r>
      <w:r>
        <w:t xml:space="preserve"> </w:t>
      </w:r>
      <w:r>
        <w:t xml:space="preserve">accounts@pixelcraft.ae</w:t>
      </w:r>
    </w:p>
    <w:p>
      <w:pPr>
        <w:pStyle w:val="BodyText"/>
      </w:pPr>
      <w:r>
        <w:rPr>
          <w:bCs/>
          <w:b/>
        </w:rPr>
        <w:t xml:space="preserve">Phone:</w:t>
      </w:r>
      <w:r>
        <w:t xml:space="preserve"> </w:t>
      </w:r>
      <w:r>
        <w:t xml:space="preserve">+971 2 555 0387</w:t>
      </w:r>
    </w:p>
    <w:bookmarkEnd w:id="22"/>
    <w:bookmarkStart w:id="23" w:name="description-of-services"/>
    <w:p>
      <w:pPr>
        <w:pStyle w:val="Heading2"/>
      </w:pPr>
      <w:r>
        <w:t xml:space="preserve">1. Description of Services</w:t>
      </w:r>
    </w:p>
    <w:p>
      <w:pPr>
        <w:pStyle w:val="FirstParagraph"/>
      </w:pPr>
      <w:r>
        <w:t xml:space="preserve">This</w:t>
      </w:r>
      <w:r>
        <w:t xml:space="preserve"> </w:t>
      </w:r>
      <w:r>
        <w:t xml:space="preserve">Purchase Order</w:t>
      </w:r>
      <w:r>
        <w:t xml:space="preserve"> </w:t>
      </w:r>
      <w:r>
        <w:t xml:space="preserve">is issued by Al Noor Digital Solutions LLC to formally engage the services of a qualified</w:t>
      </w:r>
      <w:r>
        <w:t xml:space="preserve"> </w:t>
      </w:r>
      <w:r>
        <w:t xml:space="preserve">UX UI Designer</w:t>
      </w:r>
      <w:r>
        <w:t xml:space="preserve"> </w:t>
      </w:r>
      <w:r>
        <w:t xml:space="preserve">to deliver comprehensive user experience and user interface design solutions for the company's flagship digital platform. The engagement is to be executed in accordance with the laws and regulations governing professional services in the</w:t>
      </w:r>
      <w:r>
        <w:t xml:space="preserve"> </w:t>
      </w:r>
      <w:r>
        <w:t xml:space="preserve">United Arab Emirates Abu Dhabi</w:t>
      </w:r>
      <w:r>
        <w:t xml:space="preserve"> </w:t>
      </w:r>
      <w:r>
        <w:t xml:space="preserve">jurisdiction, and all deliverables must comply with the UAE Federal Decree-Law No. 31 of 2021 on the Protection of Personal Data and applicable Abu Dhabi municipal and commercial regulations.</w:t>
      </w:r>
    </w:p>
    <w:p>
      <w:pPr>
        <w:pStyle w:val="BodyText"/>
      </w:pPr>
      <w:r>
        <w:t xml:space="preserve">The</w:t>
      </w:r>
      <w:r>
        <w:t xml:space="preserve"> </w:t>
      </w:r>
      <w:r>
        <w:t xml:space="preserve">UX UI Designer</w:t>
      </w:r>
      <w:r>
        <w:t xml:space="preserve"> </w:t>
      </w:r>
      <w:r>
        <w:t xml:space="preserve">shall be responsible for conducting user research, creating wireframes, developing high-fidelity interactive prototypes, establishing a complete design system, and delivering final production-ready interface assets. All work shall be performed remotely or on-site at the Purchasing Entity's offices located in the</w:t>
      </w:r>
      <w:r>
        <w:t xml:space="preserve"> </w:t>
      </w:r>
      <w:r>
        <w:t xml:space="preserve">United Arab Emirates Abu Dhabi</w:t>
      </w:r>
      <w:r>
        <w:t xml:space="preserve">, with a minimum of three (3) in-person collaboration sessions per month to ensure alignment with project milestones.</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Deliverable Description</w:t>
            </w:r>
          </w:p>
        </w:tc>
        <w:tc>
          <w:tcPr/>
          <w:p>
            <w:pPr>
              <w:pStyle w:val="Compact"/>
              <w:jc w:val="left"/>
            </w:pPr>
            <w:r>
              <w:t xml:space="preserve">Timeline</w:t>
            </w:r>
          </w:p>
        </w:tc>
        <w:tc>
          <w:tcPr/>
          <w:p>
            <w:pPr>
              <w:pStyle w:val="Compact"/>
              <w:jc w:val="left"/>
            </w:pPr>
            <w:r>
              <w:t xml:space="preserve">Quantity</w:t>
            </w:r>
          </w:p>
        </w:tc>
        <w:tc>
          <w:tcPr/>
          <w:p>
            <w:pPr>
              <w:pStyle w:val="Compact"/>
              <w:jc w:val="left"/>
            </w:pPr>
            <w:r>
              <w:t xml:space="preserve">Unit Price (AED)</w:t>
            </w:r>
          </w:p>
        </w:tc>
      </w:tr>
      <w:tr>
        <w:tc>
          <w:tcPr/>
          <w:p>
            <w:pPr>
              <w:pStyle w:val="Compact"/>
              <w:jc w:val="left"/>
            </w:pPr>
            <w:r>
              <w:t xml:space="preserve">01</w:t>
            </w:r>
          </w:p>
        </w:tc>
        <w:tc>
          <w:tcPr/>
          <w:p>
            <w:pPr>
              <w:pStyle w:val="Compact"/>
              <w:jc w:val="left"/>
            </w:pPr>
            <w:r>
              <w:t xml:space="preserve">User Research &amp; Persona Development for the Al Noor e-Commerce Platform</w:t>
            </w:r>
          </w:p>
        </w:tc>
        <w:tc>
          <w:tcPr/>
          <w:p>
            <w:pPr>
              <w:pStyle w:val="Compact"/>
              <w:jc w:val="left"/>
            </w:pPr>
            <w:r>
              <w:t xml:space="preserve">Weeks 1–3</w:t>
            </w:r>
          </w:p>
        </w:tc>
        <w:tc>
          <w:tcPr/>
          <w:p>
            <w:pPr>
              <w:pStyle w:val="Compact"/>
              <w:jc w:val="left"/>
            </w:pPr>
            <w:r>
              <w:t xml:space="preserve">1 Package</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Information Architecture &amp; Low-Fidelity Wireframes (Mobile &amp; Desktop)</w:t>
            </w:r>
          </w:p>
        </w:tc>
        <w:tc>
          <w:tcPr/>
          <w:p>
            <w:pPr>
              <w:pStyle w:val="Compact"/>
              <w:jc w:val="left"/>
            </w:pPr>
            <w:r>
              <w:t xml:space="preserve">Weeks 4–6</w:t>
            </w:r>
          </w:p>
        </w:tc>
        <w:tc>
          <w:tcPr/>
          <w:p>
            <w:pPr>
              <w:pStyle w:val="Compact"/>
              <w:jc w:val="left"/>
            </w:pPr>
            <w:r>
              <w:t xml:space="preserve">1 Package</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High-Fidelity UI Design &amp; Interactive Prototypes in Figma</w:t>
            </w:r>
          </w:p>
        </w:tc>
        <w:tc>
          <w:tcPr/>
          <w:p>
            <w:pPr>
              <w:pStyle w:val="Compact"/>
              <w:jc w:val="left"/>
            </w:pPr>
            <w:r>
              <w:t xml:space="preserve">Weeks 7–12</w:t>
            </w:r>
          </w:p>
        </w:tc>
        <w:tc>
          <w:tcPr/>
          <w:p>
            <w:pPr>
              <w:pStyle w:val="Compact"/>
              <w:jc w:val="left"/>
            </w:pPr>
            <w:r>
              <w:t xml:space="preserve">1 Package</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Design System &amp; Component Library Documentation</w:t>
            </w:r>
          </w:p>
        </w:tc>
        <w:tc>
          <w:tcPr/>
          <w:p>
            <w:pPr>
              <w:pStyle w:val="Compact"/>
              <w:jc w:val="left"/>
            </w:pPr>
            <w:r>
              <w:t xml:space="preserve">Weeks 13–15</w:t>
            </w:r>
          </w:p>
        </w:tc>
        <w:tc>
          <w:tcPr/>
          <w:p>
            <w:pPr>
              <w:pStyle w:val="Compact"/>
              <w:jc w:val="left"/>
            </w:pPr>
            <w:r>
              <w:t xml:space="preserve">1 Package</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Usability Testing (5 sessions) &amp; Iterative Refinement</w:t>
            </w:r>
          </w:p>
        </w:tc>
        <w:tc>
          <w:tcPr/>
          <w:p>
            <w:pPr>
              <w:pStyle w:val="Compact"/>
              <w:jc w:val="left"/>
            </w:pPr>
            <w:r>
              <w:t xml:space="preserve">Weeks 16–18</w:t>
            </w:r>
          </w:p>
        </w:tc>
        <w:tc>
          <w:tcPr/>
          <w:p>
            <w:pPr>
              <w:pStyle w:val="Compact"/>
              <w:jc w:val="left"/>
            </w:pPr>
            <w:r>
              <w:t xml:space="preserve">5 Sessions</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Final Production-Ready Asset Handoff &amp; Developer Support (2 weeks)</w:t>
            </w:r>
          </w:p>
        </w:tc>
        <w:tc>
          <w:tcPr/>
          <w:p>
            <w:pPr>
              <w:pStyle w:val="Compact"/>
              <w:jc w:val="left"/>
            </w:pPr>
            <w:r>
              <w:t xml:space="preserve">Weeks 19–20</w:t>
            </w:r>
          </w:p>
        </w:tc>
        <w:tc>
          <w:tcPr/>
          <w:p>
            <w:pPr>
              <w:pStyle w:val="Compact"/>
              <w:jc w:val="left"/>
            </w:pPr>
            <w:r>
              <w:t xml:space="preserve">1 Package</w:t>
            </w:r>
          </w:p>
        </w:tc>
        <w:tc>
          <w:tcPr/>
          <w:p>
            <w:pPr>
              <w:pStyle w:val="Compact"/>
              <w:jc w:val="left"/>
            </w:pPr>
            <w:r>
              <w:t xml:space="preserve">22,000.00</w:t>
            </w:r>
          </w:p>
        </w:tc>
      </w:tr>
      <w:tr>
        <w:tc>
          <w:tcPr>
            <w:gridSpan w:val="4"/>
          </w:tcPr>
          <w:p>
            <w:pPr>
              <w:pStyle w:val="Compact"/>
              <w:jc w:val="right"/>
            </w:pPr>
            <w:r>
              <w:t xml:space="preserve">Subtotal</w:t>
            </w:r>
          </w:p>
        </w:tc>
        <w:tc>
          <w:tcPr/>
          <w:p>
            <w:pPr>
              <w:pStyle w:val="Compact"/>
              <w:jc w:val="left"/>
            </w:pPr>
            <w:r>
              <w:t xml:space="preserve">190,250.00</w:t>
            </w:r>
          </w:p>
        </w:tc>
      </w:tr>
      <w:tr>
        <w:tc>
          <w:tcPr>
            <w:gridSpan w:val="4"/>
          </w:tcPr>
          <w:p>
            <w:pPr>
              <w:pStyle w:val="Compact"/>
              <w:jc w:val="right"/>
            </w:pPr>
            <w:r>
              <w:t xml:space="preserve">VAT (5% — UAE Standard Rate)</w:t>
            </w:r>
          </w:p>
        </w:tc>
        <w:tc>
          <w:tcPr/>
          <w:p>
            <w:pPr>
              <w:pStyle w:val="Compact"/>
              <w:jc w:val="left"/>
            </w:pPr>
            <w:r>
              <w:t xml:space="preserve">9,512.50</w:t>
            </w:r>
          </w:p>
        </w:tc>
      </w:tr>
      <w:tr>
        <w:tc>
          <w:tcPr>
            <w:gridSpan w:val="4"/>
          </w:tcPr>
          <w:p>
            <w:pPr>
              <w:pStyle w:val="Compact"/>
              <w:jc w:val="right"/>
            </w:pPr>
            <w:r>
              <w:t xml:space="preserve">Total Amount Due (AED)</w:t>
            </w:r>
          </w:p>
        </w:tc>
        <w:tc>
          <w:tcPr/>
          <w:p>
            <w:pPr>
              <w:pStyle w:val="Compact"/>
              <w:jc w:val="left"/>
            </w:pPr>
            <w:r>
              <w:t xml:space="preserve">199,762.50</w:t>
            </w:r>
          </w:p>
        </w:tc>
      </w:tr>
    </w:tbl>
    <w:bookmarkEnd w:id="24"/>
    <w:bookmarkStart w:id="25" w:name="payment-schedule"/>
    <w:p>
      <w:pPr>
        <w:pStyle w:val="Heading2"/>
      </w:pPr>
      <w:r>
        <w:t xml:space="preserve">3. Payment Schedule</w:t>
      </w:r>
    </w:p>
    <w:p>
      <w:pPr>
        <w:pStyle w:val="FirstParagraph"/>
      </w:pPr>
      <w:r>
        <w:t xml:space="preserve">Payment for the services rendered under this</w:t>
      </w:r>
      <w:r>
        <w:t xml:space="preserve"> </w:t>
      </w:r>
      <w:r>
        <w:t xml:space="preserve">Purchase Order</w:t>
      </w:r>
      <w:r>
        <w:t xml:space="preserve"> </w:t>
      </w:r>
      <w:r>
        <w:t xml:space="preserve">shall be made in the following installments, all denominated in United Arab Emirates Dirhams (AED) and payable via bank transfer to the Service Provider's designated account in the</w:t>
      </w:r>
      <w:r>
        <w:t xml:space="preserve"> </w:t>
      </w:r>
      <w:r>
        <w:t xml:space="preserve">United Arab Emirates Abu Dhabi</w:t>
      </w:r>
      <w:r>
        <w:t xml:space="preserve">:</w:t>
      </w:r>
    </w:p>
    <w:p>
      <w:pPr>
        <w:numPr>
          <w:ilvl w:val="0"/>
          <w:numId w:val="1001"/>
        </w:numPr>
        <w:pStyle w:val="Compact"/>
      </w:pPr>
      <w:r>
        <w:rPr>
          <w:bCs/>
          <w:b/>
        </w:rPr>
        <w:t xml:space="preserve">Milestone 1 (30%):</w:t>
      </w:r>
      <w:r>
        <w:t xml:space="preserve"> </w:t>
      </w:r>
      <w:r>
        <w:t xml:space="preserve">AED 59,928.75 — Due upon successful completion and acceptance of Deliverables 01 and 02.</w:t>
      </w:r>
    </w:p>
    <w:p>
      <w:pPr>
        <w:numPr>
          <w:ilvl w:val="0"/>
          <w:numId w:val="1001"/>
        </w:numPr>
        <w:pStyle w:val="Compact"/>
      </w:pPr>
      <w:r>
        <w:rPr>
          <w:bCs/>
          <w:b/>
        </w:rPr>
        <w:t xml:space="preserve">Milestone 2 (40%):</w:t>
      </w:r>
      <w:r>
        <w:t xml:space="preserve"> </w:t>
      </w:r>
      <w:r>
        <w:t xml:space="preserve">AED 79,905.00 — Due upon successful completion and acceptance of Deliverables 03 and 04.</w:t>
      </w:r>
    </w:p>
    <w:p>
      <w:pPr>
        <w:numPr>
          <w:ilvl w:val="0"/>
          <w:numId w:val="1001"/>
        </w:numPr>
        <w:pStyle w:val="Compact"/>
      </w:pPr>
      <w:r>
        <w:rPr>
          <w:bCs/>
          <w:b/>
        </w:rPr>
        <w:t xml:space="preserve">Milestone 3 (30%):</w:t>
      </w:r>
      <w:r>
        <w:t xml:space="preserve"> </w:t>
      </w:r>
      <w:r>
        <w:t xml:space="preserve">AED 59,928.75 — Due upon final handoff of Deliverables 05 and 06 and written sign-off by the Purchasing Entity.</w:t>
      </w:r>
    </w:p>
    <w:p>
      <w:pPr>
        <w:pStyle w:val="FirstParagraph"/>
      </w:pPr>
      <w:r>
        <w:t xml:space="preserve">All invoices must reference the</w:t>
      </w:r>
      <w:r>
        <w:t xml:space="preserve"> </w:t>
      </w:r>
      <w:r>
        <w:t xml:space="preserve">Purchase Order</w:t>
      </w:r>
      <w:r>
        <w:t xml:space="preserve"> </w:t>
      </w:r>
      <w:r>
        <w:t xml:space="preserve">number PO-UAE-ABH-2025-04782 and must be issued in compliance with the Federal Tax Authority (FTA) invoicing requirements applicable in the</w:t>
      </w:r>
      <w:r>
        <w:t xml:space="preserve"> </w:t>
      </w:r>
      <w:r>
        <w:t xml:space="preserve">United Arab Emirates Abu Dhabi</w:t>
      </w:r>
      <w:r>
        <w:t xml:space="preserve">.</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United Arab Emirates, with exclusive jurisdiction vested in the Courts of Abu Dhabi,</w:t>
      </w:r>
      <w:r>
        <w:t xml:space="preserve"> </w:t>
      </w:r>
      <w:r>
        <w:t xml:space="preserve">United Arab Emirates Abu Dhabi</w:t>
      </w:r>
      <w:r>
        <w:t xml:space="preserve">.</w:t>
      </w:r>
    </w:p>
    <w:p>
      <w:pPr>
        <w:numPr>
          <w:ilvl w:val="0"/>
          <w:numId w:val="1002"/>
        </w:numPr>
        <w:pStyle w:val="Compact"/>
      </w:pPr>
      <w:r>
        <w:rPr>
          <w:bCs/>
          <w:b/>
        </w:rPr>
        <w:t xml:space="preserve">Intellectual Property:</w:t>
      </w:r>
      <w:r>
        <w:t xml:space="preserve"> </w:t>
      </w:r>
      <w:r>
        <w:t xml:space="preserve">Upon full and final payment, all intellectual property rights in the deliverables produced by the</w:t>
      </w:r>
      <w:r>
        <w:t xml:space="preserve"> </w:t>
      </w:r>
      <w:r>
        <w:t xml:space="preserve">UX UI Designer</w:t>
      </w:r>
      <w:r>
        <w:t xml:space="preserve"> </w:t>
      </w:r>
      <w:r>
        <w:t xml:space="preserve">shall be irrevocably assigned to Al Noor Digital Solutions LLC. The Service Provider retains the right to display the work in a professional portfolio, subject to a 90-day embargo period.</w:t>
      </w:r>
    </w:p>
    <w:p>
      <w:pPr>
        <w:numPr>
          <w:ilvl w:val="0"/>
          <w:numId w:val="1002"/>
        </w:numPr>
        <w:pStyle w:val="Compact"/>
      </w:pPr>
      <w:r>
        <w:rPr>
          <w:bCs/>
          <w:b/>
        </w:rPr>
        <w:t xml:space="preserve">Confidentiality:</w:t>
      </w:r>
      <w:r>
        <w:t xml:space="preserve"> </w:t>
      </w:r>
      <w:r>
        <w:t xml:space="preserve">Both parties agree to maintain strict confidentiality of all proprietary information exchanged during the engagement. This obligation shall survive the termination of this</w:t>
      </w:r>
      <w:r>
        <w:t xml:space="preserve"> </w:t>
      </w:r>
      <w:r>
        <w:t xml:space="preserve">Purchase Order</w:t>
      </w:r>
      <w:r>
        <w:t xml:space="preserve"> </w:t>
      </w:r>
      <w:r>
        <w:t xml:space="preserve">for a period of three (3) years.</w:t>
      </w:r>
    </w:p>
    <w:p>
      <w:pPr>
        <w:numPr>
          <w:ilvl w:val="0"/>
          <w:numId w:val="1002"/>
        </w:numPr>
        <w:pStyle w:val="Compact"/>
      </w:pPr>
      <w:r>
        <w:rPr>
          <w:bCs/>
          <w:b/>
        </w:rPr>
        <w:t xml:space="preserve">Compliance:</w:t>
      </w:r>
      <w:r>
        <w:t xml:space="preserve"> </w:t>
      </w:r>
      <w:r>
        <w:t xml:space="preserve">The</w:t>
      </w:r>
      <w:r>
        <w:t xml:space="preserve"> </w:t>
      </w:r>
      <w:r>
        <w:t xml:space="preserve">UX UI Designer</w:t>
      </w:r>
      <w:r>
        <w:t xml:space="preserve"> </w:t>
      </w:r>
      <w:r>
        <w:t xml:space="preserve">shall comply with all applicable UAE labor laws, data protection regulations, and Abu Dhabi municipal bylaws. Any on-site work in the</w:t>
      </w:r>
      <w:r>
        <w:t xml:space="preserve"> </w:t>
      </w:r>
      <w:r>
        <w:t xml:space="preserve">United Arab Emirates Abu Dhabi</w:t>
      </w:r>
      <w:r>
        <w:t xml:space="preserve"> </w:t>
      </w:r>
      <w:r>
        <w:t xml:space="preserve">shall be conducted during standard business hours (Sunday to Thursday, 9:00 AM to 6:00 PM GST).</w:t>
      </w:r>
    </w:p>
    <w:p>
      <w:pPr>
        <w:numPr>
          <w:ilvl w:val="0"/>
          <w:numId w:val="1002"/>
        </w:numPr>
        <w:pStyle w:val="Compact"/>
      </w:pPr>
      <w:r>
        <w:rPr>
          <w:bCs/>
          <w:b/>
        </w:rPr>
        <w:t xml:space="preserve">Revisions:</w:t>
      </w:r>
      <w:r>
        <w:t xml:space="preserve"> </w:t>
      </w:r>
      <w:r>
        <w:t xml:space="preserve">Each deliverable package includes up to three (3) rounds of revisions. Additional revision cycles shall be billed at AED 1,500 per hour, subject to prior written approval under this</w:t>
      </w:r>
      <w:r>
        <w:t xml:space="preserve"> </w:t>
      </w:r>
      <w:r>
        <w:t xml:space="preserve">Purchase Order</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Service Provider shall be compensated for all work completed and accepted up to the date of termination.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the</w:t>
      </w:r>
      <w:r>
        <w:t xml:space="preserve"> </w:t>
      </w:r>
      <w:r>
        <w:t xml:space="preserve">United Arab Emirates Abu Dhabi</w:t>
      </w:r>
      <w:r>
        <w:t xml:space="preserve">, natural disasters, or pandemics.</w:t>
      </w:r>
    </w:p>
    <w:p>
      <w:pPr>
        <w:numPr>
          <w:ilvl w:val="0"/>
          <w:numId w:val="1002"/>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good-faith negotiation. If unresolved within thirty (30) days, the matter shall be referred to the Abu Dhabi Commercial Court for final and binding adjudication.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 the</w:t>
      </w:r>
      <w:r>
        <w:t xml:space="preserve"> </w:t>
      </w:r>
      <w:r>
        <w:t xml:space="preserve">United Arab Emirates Abu Dhabi</w:t>
      </w:r>
      <w:r>
        <w:t xml:space="preserve">. This document constitutes a binding commercial agreement upon execution by both authorized representatives.</w:t>
      </w:r>
    </w:p>
    <w:bookmarkEnd w:id="27"/>
    <w:p>
      <w:pPr>
        <w:pStyle w:val="BodyText"/>
      </w:pPr>
      <w:r>
        <w:rPr>
          <w:bCs/>
          <w:b/>
        </w:rPr>
        <w:t xml:space="preserve">For and on behalf of Al Noor Digital Solutions LLC (Buyer)</w:t>
      </w:r>
    </w:p>
    <w:p>
      <w:pPr>
        <w:pStyle w:val="BodyText"/>
      </w:pPr>
      <w:r>
        <w:t xml:space="preserve">Name: Khalid Al Mansoori</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PixelCraft Design Studio FZ-LLC (Seller)</w:t>
      </w:r>
    </w:p>
    <w:p>
      <w:pPr>
        <w:pStyle w:val="BodyText"/>
      </w:pPr>
      <w:r>
        <w:t xml:space="preserve">Name: Sarah Al Farsi</w:t>
      </w:r>
    </w:p>
    <w:p>
      <w:pPr>
        <w:pStyle w:val="BodyText"/>
      </w:pPr>
      <w:r>
        <w:t xml:space="preserve">Title: Account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PO-UAE-ABH-2025-04782 — UX UI Designer Services — United Arab Emirates Abu Dhabi</w:t>
      </w:r>
    </w:p>
    <w:p>
      <w:pPr>
        <w:pStyle w:val="BodyText"/>
      </w:pPr>
      <w:r>
        <w:t xml:space="preserve">This document is issued in two (2) original copies, one for each party. Electronic copies bearing verified digital signatures are considered equally valid under UAE Federal Decree-Law No. 46 of 2021 on Electronic Transactions.</w:t>
      </w:r>
    </w:p>
    <w:p>
      <w:pPr>
        <w:pStyle w:val="BodyText"/>
      </w:pPr>
      <w:r>
        <w:t xml:space="preserve">© 2025 Al Noor Digital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United Arab Emirates Abu Dhabi</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