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Veterinary</w:t>
      </w:r>
      <w:r>
        <w:t xml:space="preserve"> </w:t>
      </w:r>
      <w:r>
        <w:t xml:space="preserve">Practice</w:t>
      </w:r>
      <w:r>
        <w:t xml:space="preserve"> </w:t>
      </w:r>
      <w:r>
        <w:t xml:space="preserve">-</w:t>
      </w:r>
      <w:r>
        <w:t xml:space="preserve"> </w:t>
      </w:r>
      <w:r>
        <w:t xml:space="preserve">Australia</w:t>
      </w:r>
      <w:r>
        <w:t xml:space="preserve"> </w:t>
      </w:r>
      <w:r>
        <w:t xml:space="preserve">Sydney</w:t>
      </w:r>
    </w:p>
    <w:bookmarkStart w:id="20" w:name="purchase-order"/>
    <w:p>
      <w:pPr>
        <w:pStyle w:val="Heading1"/>
      </w:pPr>
      <w:r>
        <w:t xml:space="preserve">PURCHASE ORDER</w:t>
      </w:r>
    </w:p>
    <w:p>
      <w:pPr>
        <w:pStyle w:val="FirstParagraph"/>
      </w:pPr>
      <w:r>
        <w:t xml:space="preserve">Official Procurement Document — Veterinary Practice Supply Chain</w:t>
      </w:r>
    </w:p>
    <w:p>
      <w:pPr>
        <w:pStyle w:val="BodyText"/>
      </w:pPr>
      <w:r>
        <w:t xml:space="preserve">Issued in Australia Sydney, New South Wales</w:t>
      </w:r>
    </w:p>
    <w:p>
      <w:pPr>
        <w:pStyle w:val="BodyText"/>
      </w:pPr>
      <w:r>
        <w:t xml:space="preserve">PO No: VET-SYD-2025-04872</w:t>
      </w:r>
    </w:p>
    <w:bookmarkEnd w:id="20"/>
    <w:bookmarkStart w:id="21" w:name="buyer-veterinarian"/>
    <w:p>
      <w:pPr>
        <w:pStyle w:val="Heading3"/>
      </w:pPr>
      <w:r>
        <w:t xml:space="preserve">Buyer (Veterinarian)</w:t>
      </w:r>
    </w:p>
    <w:p>
      <w:pPr>
        <w:pStyle w:val="FirstParagraph"/>
      </w:pPr>
      <w:r>
        <w:rPr>
          <w:bCs/>
          <w:b/>
        </w:rPr>
        <w:t xml:space="preserve">Harbour City Veterinary Clinic</w:t>
      </w:r>
    </w:p>
    <w:p>
      <w:pPr>
        <w:pStyle w:val="BodyText"/>
      </w:pPr>
      <w:r>
        <w:t xml:space="preserve">124 Parramatta Road, Ultimo</w:t>
      </w:r>
    </w:p>
    <w:p>
      <w:pPr>
        <w:pStyle w:val="BodyText"/>
      </w:pPr>
      <w:r>
        <w:t xml:space="preserve">Sydney, NSW 2007, Australia</w:t>
      </w:r>
    </w:p>
    <w:p>
      <w:pPr>
        <w:pStyle w:val="BodyText"/>
      </w:pPr>
      <w:r>
        <w:t xml:space="preserve">ABN: 54 123 456 789</w:t>
      </w:r>
    </w:p>
    <w:p>
      <w:pPr>
        <w:pStyle w:val="BodyText"/>
      </w:pPr>
      <w:r>
        <w:t xml:space="preserve">ACN: 123 456 789</w:t>
      </w:r>
    </w:p>
    <w:p>
      <w:pPr>
        <w:pStyle w:val="BodyText"/>
      </w:pPr>
      <w:r>
        <w:t xml:space="preserve">Phone: +61 2 9361 4400</w:t>
      </w:r>
    </w:p>
    <w:p>
      <w:pPr>
        <w:pStyle w:val="BodyText"/>
      </w:pPr>
      <w:r>
        <w:t xml:space="preserve">Email: procurement@harbourcityvet.com.au</w:t>
      </w:r>
    </w:p>
    <w:p>
      <w:pPr>
        <w:pStyle w:val="BodyText"/>
      </w:pPr>
      <w:r>
        <w:rPr>
          <w:bCs/>
          <w:b/>
        </w:rPr>
        <w:t xml:space="preserve">Lead Veterinarian:</w:t>
      </w:r>
      <w:r>
        <w:t xml:space="preserve"> </w:t>
      </w:r>
      <w:r>
        <w:t xml:space="preserve">Dr. Sarah Mitchell, BVSc, MRCVS</w:t>
      </w:r>
    </w:p>
    <w:bookmarkEnd w:id="21"/>
    <w:bookmarkStart w:id="22" w:name="supplier"/>
    <w:p>
      <w:pPr>
        <w:pStyle w:val="Heading3"/>
      </w:pPr>
      <w:r>
        <w:t xml:space="preserve">Supplier</w:t>
      </w:r>
    </w:p>
    <w:p>
      <w:pPr>
        <w:pStyle w:val="FirstParagraph"/>
      </w:pPr>
      <w:r>
        <w:rPr>
          <w:bCs/>
          <w:b/>
        </w:rPr>
        <w:t xml:space="preserve">Aussie Vet Supplies Pty Ltd</w:t>
      </w:r>
    </w:p>
    <w:p>
      <w:pPr>
        <w:pStyle w:val="BodyText"/>
      </w:pPr>
      <w:r>
        <w:t xml:space="preserve">Unit 7, 45 Industrial Avenue</w:t>
      </w:r>
    </w:p>
    <w:p>
      <w:pPr>
        <w:pStyle w:val="BodyText"/>
      </w:pPr>
      <w:r>
        <w:t xml:space="preserve">Wetherill Park, NSW 2164, Australia</w:t>
      </w:r>
    </w:p>
    <w:p>
      <w:pPr>
        <w:pStyle w:val="BodyText"/>
      </w:pPr>
      <w:r>
        <w:t xml:space="preserve">ABN: 87 987 654 321</w:t>
      </w:r>
    </w:p>
    <w:p>
      <w:pPr>
        <w:pStyle w:val="BodyText"/>
      </w:pPr>
      <w:r>
        <w:t xml:space="preserve">ACN: 987 654 321</w:t>
      </w:r>
    </w:p>
    <w:p>
      <w:pPr>
        <w:pStyle w:val="BodyText"/>
      </w:pPr>
      <w:r>
        <w:t xml:space="preserve">Phone: +61 2 9634 7722</w:t>
      </w:r>
    </w:p>
    <w:p>
      <w:pPr>
        <w:pStyle w:val="BodyText"/>
      </w:pPr>
      <w:r>
        <w:t xml:space="preserve">Email: sales@aussievetsupplies.com.au</w:t>
      </w:r>
    </w:p>
    <w:p>
      <w:pPr>
        <w:pStyle w:val="BodyText"/>
      </w:pPr>
      <w:r>
        <w:rPr>
          <w:bCs/>
          <w:b/>
        </w:rPr>
        <w:t xml:space="preserve">Contact:</w:t>
      </w:r>
      <w:r>
        <w:t xml:space="preserve"> </w:t>
      </w:r>
      <w:r>
        <w:t xml:space="preserve">James Thornton, Sales Manager</w:t>
      </w:r>
    </w:p>
    <w:bookmarkEnd w:id="22"/>
    <w:p>
      <w:pPr>
        <w:pStyle w:val="BodyText"/>
      </w:pPr>
      <w:r>
        <w:rPr>
          <w:bCs/>
          <w:b/>
        </w:rPr>
        <w:t xml:space="preserve">Date of Issue:</w:t>
      </w:r>
      <w:r>
        <w:t xml:space="preserve"> </w:t>
      </w:r>
      <w:r>
        <w:t xml:space="preserve">14 June 2025   |  </w:t>
      </w:r>
      <w:r>
        <w:t xml:space="preserve"> </w:t>
      </w:r>
      <w:r>
        <w:rPr>
          <w:bCs/>
          <w:b/>
        </w:rPr>
        <w:t xml:space="preserve">Delivery Due Date:</w:t>
      </w:r>
      <w:r>
        <w:t xml:space="preserve"> </w:t>
      </w:r>
      <w:r>
        <w:t xml:space="preserve">28 June 2025   |  </w:t>
      </w:r>
      <w:r>
        <w:t xml:space="preserve"> </w:t>
      </w:r>
      <w:r>
        <w:t xml:space="preserve">Status: PENDING APPROVAL</w:t>
      </w:r>
    </w:p>
    <w:p>
      <w:pPr>
        <w:pStyle w:val="BodyText"/>
      </w:pPr>
      <w:r>
        <w:t xml:space="preserve">This Purchase Order is issued by Harbour City Veterinary Clinic, a registered veterinary practice operating in Australia Sydney, to procure essential clinical supplies, pharmaceuticals, and diagnostic equipment. This document constitutes a binding procurement request in accordance with the</w:t>
      </w:r>
      <w:r>
        <w:t xml:space="preserve"> </w:t>
      </w:r>
      <w:r>
        <w:rPr>
          <w:iCs/>
          <w:i/>
        </w:rPr>
        <w:t xml:space="preserve">Competition and Consumer Act 2010</w:t>
      </w:r>
      <w:r>
        <w:t xml:space="preserve"> </w:t>
      </w:r>
      <w:r>
        <w:t xml:space="preserve">(Cth) and the</w:t>
      </w:r>
      <w:r>
        <w:t xml:space="preserve"> </w:t>
      </w:r>
      <w:r>
        <w:rPr>
          <w:iCs/>
          <w:i/>
        </w:rPr>
        <w:t xml:space="preserve">Veterinary Practice Act 1998</w:t>
      </w:r>
      <w:r>
        <w:t xml:space="preserve"> </w:t>
      </w:r>
      <w:r>
        <w:t xml:space="preserve">(NSW). All transactions referenced herein are subject to the Goods and Services Tax (GST) regulations administered by the Australian Taxation Office (ATO).</w:t>
      </w:r>
    </w:p>
    <w:bookmarkStart w:id="23" w:name="X23034468aab08be00d8351ceef1e937ec96a588"/>
    <w:p>
      <w:pPr>
        <w:pStyle w:val="Heading2"/>
      </w:pPr>
      <w:r>
        <w:t xml:space="preserve">Line Items — Veterinary Supplies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Line Total (AUD)</w:t>
            </w:r>
          </w:p>
        </w:tc>
      </w:tr>
      <w:tr>
        <w:tc>
          <w:tcPr/>
          <w:p>
            <w:pPr>
              <w:pStyle w:val="Compact"/>
              <w:jc w:val="left"/>
            </w:pPr>
            <w:r>
              <w:t xml:space="preserve">01</w:t>
            </w:r>
          </w:p>
        </w:tc>
        <w:tc>
          <w:tcPr/>
          <w:p>
            <w:pPr>
              <w:pStyle w:val="Compact"/>
              <w:jc w:val="left"/>
            </w:pPr>
            <w:r>
              <w:t xml:space="preserve">Merck Merial — Fort Dodge Caridium (Canine Heartworm Preventative), 100-dose pack</w:t>
            </w:r>
          </w:p>
        </w:tc>
        <w:tc>
          <w:tcPr/>
          <w:p>
            <w:pPr>
              <w:pStyle w:val="Compact"/>
              <w:jc w:val="left"/>
            </w:pPr>
            <w:r>
              <w:t xml:space="preserve">MD-CAR-100</w:t>
            </w:r>
          </w:p>
        </w:tc>
        <w:tc>
          <w:tcPr/>
          <w:p>
            <w:pPr>
              <w:pStyle w:val="Compact"/>
              <w:jc w:val="left"/>
            </w:pPr>
            <w:r>
              <w:t xml:space="preserve">25</w:t>
            </w:r>
          </w:p>
        </w:tc>
        <w:tc>
          <w:tcPr/>
          <w:p>
            <w:pPr>
              <w:pStyle w:val="Compact"/>
              <w:jc w:val="left"/>
            </w:pPr>
            <w:r>
              <w:t xml:space="preserve">$485.00</w:t>
            </w:r>
          </w:p>
        </w:tc>
        <w:tc>
          <w:tcPr/>
          <w:p>
            <w:pPr>
              <w:pStyle w:val="Compact"/>
              <w:jc w:val="left"/>
            </w:pPr>
            <w:r>
              <w:t xml:space="preserve">$12,125.00</w:t>
            </w:r>
          </w:p>
        </w:tc>
      </w:tr>
      <w:tr>
        <w:tc>
          <w:tcPr/>
          <w:p>
            <w:pPr>
              <w:pStyle w:val="Compact"/>
              <w:jc w:val="left"/>
            </w:pPr>
            <w:r>
              <w:t xml:space="preserve">02</w:t>
            </w:r>
          </w:p>
        </w:tc>
        <w:tc>
          <w:tcPr/>
          <w:p>
            <w:pPr>
              <w:pStyle w:val="Compact"/>
              <w:jc w:val="left"/>
            </w:pPr>
            <w:r>
              <w:t xml:space="preserve">Boehringer Ingelheim — Vetmedin (Pimobendan) 5mg Tablets, 100-count bottles</w:t>
            </w:r>
          </w:p>
        </w:tc>
        <w:tc>
          <w:tcPr/>
          <w:p>
            <w:pPr>
              <w:pStyle w:val="Compact"/>
              <w:jc w:val="left"/>
            </w:pPr>
            <w:r>
              <w:t xml:space="preserve">BI-VET-5MG</w:t>
            </w:r>
          </w:p>
        </w:tc>
        <w:tc>
          <w:tcPr/>
          <w:p>
            <w:pPr>
              <w:pStyle w:val="Compact"/>
              <w:jc w:val="left"/>
            </w:pPr>
            <w:r>
              <w:t xml:space="preserve">40</w:t>
            </w:r>
          </w:p>
        </w:tc>
        <w:tc>
          <w:tcPr/>
          <w:p>
            <w:pPr>
              <w:pStyle w:val="Compact"/>
              <w:jc w:val="left"/>
            </w:pPr>
            <w:r>
              <w:t xml:space="preserve">$92.50</w:t>
            </w:r>
          </w:p>
        </w:tc>
        <w:tc>
          <w:tcPr/>
          <w:p>
            <w:pPr>
              <w:pStyle w:val="Compact"/>
              <w:jc w:val="left"/>
            </w:pPr>
            <w:r>
              <w:t xml:space="preserve">$3,700.00</w:t>
            </w:r>
          </w:p>
        </w:tc>
      </w:tr>
      <w:tr>
        <w:tc>
          <w:tcPr/>
          <w:p>
            <w:pPr>
              <w:pStyle w:val="Compact"/>
              <w:jc w:val="left"/>
            </w:pPr>
            <w:r>
              <w:t xml:space="preserve">03</w:t>
            </w:r>
          </w:p>
        </w:tc>
        <w:tc>
          <w:tcPr/>
          <w:p>
            <w:pPr>
              <w:pStyle w:val="Compact"/>
              <w:jc w:val="left"/>
            </w:pPr>
            <w:r>
              <w:t xml:space="preserve">Idexx — ProCyte Plus Feline Canine Reagent Cartridges (50-pack)</w:t>
            </w:r>
          </w:p>
        </w:tc>
        <w:tc>
          <w:tcPr/>
          <w:p>
            <w:pPr>
              <w:pStyle w:val="Compact"/>
              <w:jc w:val="left"/>
            </w:pPr>
            <w:r>
              <w:t xml:space="preserve">IDX-PCP-50</w:t>
            </w:r>
          </w:p>
        </w:tc>
        <w:tc>
          <w:tcPr/>
          <w:p>
            <w:pPr>
              <w:pStyle w:val="Compact"/>
              <w:jc w:val="left"/>
            </w:pPr>
            <w:r>
              <w:t xml:space="preserve">12</w:t>
            </w:r>
          </w:p>
        </w:tc>
        <w:tc>
          <w:tcPr/>
          <w:p>
            <w:pPr>
              <w:pStyle w:val="Compact"/>
              <w:jc w:val="left"/>
            </w:pPr>
            <w:r>
              <w:t xml:space="preserve">$1,240.00</w:t>
            </w:r>
          </w:p>
        </w:tc>
        <w:tc>
          <w:tcPr/>
          <w:p>
            <w:pPr>
              <w:pStyle w:val="Compact"/>
              <w:jc w:val="left"/>
            </w:pPr>
            <w:r>
              <w:t xml:space="preserve">$14,880.00</w:t>
            </w:r>
          </w:p>
        </w:tc>
      </w:tr>
      <w:tr>
        <w:tc>
          <w:tcPr/>
          <w:p>
            <w:pPr>
              <w:pStyle w:val="Compact"/>
              <w:jc w:val="left"/>
            </w:pPr>
            <w:r>
              <w:t xml:space="preserve">04</w:t>
            </w:r>
          </w:p>
        </w:tc>
        <w:tc>
          <w:tcPr/>
          <w:p>
            <w:pPr>
              <w:pStyle w:val="Compact"/>
              <w:jc w:val="left"/>
            </w:pPr>
            <w:r>
              <w:t xml:space="preserve">GE Healthcare — Vet Ultrasound Transducer, 8-14 MHz Linear Probe</w:t>
            </w:r>
          </w:p>
        </w:tc>
        <w:tc>
          <w:tcPr/>
          <w:p>
            <w:pPr>
              <w:pStyle w:val="Compact"/>
              <w:jc w:val="left"/>
            </w:pPr>
            <w:r>
              <w:t xml:space="preserve">GE-VET-814</w:t>
            </w:r>
          </w:p>
        </w:tc>
        <w:tc>
          <w:tcPr/>
          <w:p>
            <w:pPr>
              <w:pStyle w:val="Compact"/>
              <w:jc w:val="left"/>
            </w:pPr>
            <w:r>
              <w:t xml:space="preserve">2</w:t>
            </w:r>
          </w:p>
        </w:tc>
        <w:tc>
          <w:tcPr/>
          <w:p>
            <w:pPr>
              <w:pStyle w:val="Compact"/>
              <w:jc w:val="left"/>
            </w:pPr>
            <w:r>
              <w:t xml:space="preserve">$4,850.00</w:t>
            </w:r>
          </w:p>
        </w:tc>
        <w:tc>
          <w:tcPr/>
          <w:p>
            <w:pPr>
              <w:pStyle w:val="Compact"/>
              <w:jc w:val="left"/>
            </w:pPr>
            <w:r>
              <w:t xml:space="preserve">$9,700.00</w:t>
            </w:r>
          </w:p>
        </w:tc>
      </w:tr>
      <w:tr>
        <w:tc>
          <w:tcPr/>
          <w:p>
            <w:pPr>
              <w:pStyle w:val="Compact"/>
              <w:jc w:val="left"/>
            </w:pPr>
            <w:r>
              <w:t xml:space="preserve">05</w:t>
            </w:r>
          </w:p>
        </w:tc>
        <w:tc>
          <w:tcPr/>
          <w:p>
            <w:pPr>
              <w:pStyle w:val="Compact"/>
              <w:jc w:val="left"/>
            </w:pPr>
            <w:r>
              <w:t xml:space="preserve">3M — Vetrap Self-Adhesive Bandage Rolls, 10cm x 4.5m (Box of 50)</w:t>
            </w:r>
          </w:p>
        </w:tc>
        <w:tc>
          <w:tcPr/>
          <w:p>
            <w:pPr>
              <w:pStyle w:val="Compact"/>
              <w:jc w:val="left"/>
            </w:pPr>
            <w:r>
              <w:t xml:space="preserve">3M-VTR-10CM</w:t>
            </w:r>
          </w:p>
        </w:tc>
        <w:tc>
          <w:tcPr/>
          <w:p>
            <w:pPr>
              <w:pStyle w:val="Compact"/>
              <w:jc w:val="left"/>
            </w:pPr>
            <w:r>
              <w:t xml:space="preserve">30</w:t>
            </w:r>
          </w:p>
        </w:tc>
        <w:tc>
          <w:tcPr/>
          <w:p>
            <w:pPr>
              <w:pStyle w:val="Compact"/>
              <w:jc w:val="left"/>
            </w:pPr>
            <w:r>
              <w:t xml:space="preserve">$68.00</w:t>
            </w:r>
          </w:p>
        </w:tc>
        <w:tc>
          <w:tcPr/>
          <w:p>
            <w:pPr>
              <w:pStyle w:val="Compact"/>
              <w:jc w:val="left"/>
            </w:pPr>
            <w:r>
              <w:t xml:space="preserve">$2,040.00</w:t>
            </w:r>
          </w:p>
        </w:tc>
      </w:tr>
      <w:tr>
        <w:tc>
          <w:tcPr/>
          <w:p>
            <w:pPr>
              <w:pStyle w:val="Compact"/>
              <w:jc w:val="left"/>
            </w:pPr>
            <w:r>
              <w:t xml:space="preserve">06</w:t>
            </w:r>
          </w:p>
        </w:tc>
        <w:tc>
          <w:tcPr/>
          <w:p>
            <w:pPr>
              <w:pStyle w:val="Compact"/>
              <w:jc w:val="left"/>
            </w:pPr>
            <w:r>
              <w:t xml:space="preserve">Virbac — Meloxicam 1.5mg/mL Oral Suspension, 100mL bottles</w:t>
            </w:r>
          </w:p>
        </w:tc>
        <w:tc>
          <w:tcPr/>
          <w:p>
            <w:pPr>
              <w:pStyle w:val="Compact"/>
              <w:jc w:val="left"/>
            </w:pPr>
            <w:r>
              <w:t xml:space="preserve">VRB-MEL-100</w:t>
            </w:r>
          </w:p>
        </w:tc>
        <w:tc>
          <w:tcPr/>
          <w:p>
            <w:pPr>
              <w:pStyle w:val="Compact"/>
              <w:jc w:val="left"/>
            </w:pPr>
            <w:r>
              <w:t xml:space="preserve">60</w:t>
            </w:r>
          </w:p>
        </w:tc>
        <w:tc>
          <w:tcPr/>
          <w:p>
            <w:pPr>
              <w:pStyle w:val="Compact"/>
              <w:jc w:val="left"/>
            </w:pPr>
            <w:r>
              <w:t xml:space="preserve">$34.75</w:t>
            </w:r>
          </w:p>
        </w:tc>
        <w:tc>
          <w:tcPr/>
          <w:p>
            <w:pPr>
              <w:pStyle w:val="Compact"/>
              <w:jc w:val="left"/>
            </w:pPr>
            <w:r>
              <w:t xml:space="preserve">$2,085.00</w:t>
            </w:r>
          </w:p>
        </w:tc>
      </w:tr>
      <w:tr>
        <w:tc>
          <w:tcPr/>
          <w:p>
            <w:pPr>
              <w:pStyle w:val="Compact"/>
              <w:jc w:val="left"/>
            </w:pPr>
            <w:r>
              <w:t xml:space="preserve">07</w:t>
            </w:r>
          </w:p>
        </w:tc>
        <w:tc>
          <w:tcPr/>
          <w:p>
            <w:pPr>
              <w:pStyle w:val="Compact"/>
              <w:jc w:val="left"/>
            </w:pPr>
            <w:r>
              <w:t xml:space="preserve">BD — Vacutainer Blood Collection Tubes, Assorted (Pack of 200)</w:t>
            </w:r>
          </w:p>
        </w:tc>
        <w:tc>
          <w:tcPr/>
          <w:p>
            <w:pPr>
              <w:pStyle w:val="Compact"/>
              <w:jc w:val="left"/>
            </w:pPr>
            <w:r>
              <w:t xml:space="preserve">BD-VCT-200</w:t>
            </w:r>
          </w:p>
        </w:tc>
        <w:tc>
          <w:tcPr/>
          <w:p>
            <w:pPr>
              <w:pStyle w:val="Compact"/>
              <w:jc w:val="left"/>
            </w:pPr>
            <w:r>
              <w:t xml:space="preserve">15</w:t>
            </w:r>
          </w:p>
        </w:tc>
        <w:tc>
          <w:tcPr/>
          <w:p>
            <w:pPr>
              <w:pStyle w:val="Compact"/>
              <w:jc w:val="left"/>
            </w:pPr>
            <w:r>
              <w:t xml:space="preserve">$112.00</w:t>
            </w:r>
          </w:p>
        </w:tc>
        <w:tc>
          <w:tcPr/>
          <w:p>
            <w:pPr>
              <w:pStyle w:val="Compact"/>
              <w:jc w:val="left"/>
            </w:pPr>
            <w:r>
              <w:t xml:space="preserve">$1,680.00</w:t>
            </w:r>
          </w:p>
        </w:tc>
      </w:tr>
      <w:tr>
        <w:tc>
          <w:tcPr/>
          <w:p>
            <w:pPr>
              <w:pStyle w:val="Compact"/>
              <w:jc w:val="left"/>
            </w:pPr>
            <w:r>
              <w:t xml:space="preserve">08</w:t>
            </w:r>
          </w:p>
        </w:tc>
        <w:tc>
          <w:tcPr/>
          <w:p>
            <w:pPr>
              <w:pStyle w:val="Compact"/>
              <w:jc w:val="left"/>
            </w:pPr>
            <w:r>
              <w:t xml:space="preserve">Elanco — Simparica Trio (Dog) 14.1-25kg, 3-month supply boxes</w:t>
            </w:r>
          </w:p>
        </w:tc>
        <w:tc>
          <w:tcPr/>
          <w:p>
            <w:pPr>
              <w:pStyle w:val="Compact"/>
              <w:jc w:val="left"/>
            </w:pPr>
            <w:r>
              <w:t xml:space="preserve">ELC-SPT-1425</w:t>
            </w:r>
          </w:p>
        </w:tc>
        <w:tc>
          <w:tcPr/>
          <w:p>
            <w:pPr>
              <w:pStyle w:val="Compact"/>
              <w:jc w:val="left"/>
            </w:pPr>
            <w:r>
              <w:t xml:space="preserve">50</w:t>
            </w:r>
          </w:p>
        </w:tc>
        <w:tc>
          <w:tcPr/>
          <w:p>
            <w:pPr>
              <w:pStyle w:val="Compact"/>
              <w:jc w:val="left"/>
            </w:pPr>
            <w:r>
              <w:t xml:space="preserve">$78.00</w:t>
            </w:r>
          </w:p>
        </w:tc>
        <w:tc>
          <w:tcPr/>
          <w:p>
            <w:pPr>
              <w:pStyle w:val="Compact"/>
              <w:jc w:val="left"/>
            </w:pPr>
            <w:r>
              <w:t xml:space="preserve">$3,900.00</w:t>
            </w:r>
          </w:p>
        </w:tc>
      </w:tr>
    </w:tbl>
    <w:tbl>
      <w:tblPr>
        <w:tblStyle w:val="Table"/>
        <w:tblW w:type="auto" w:w="0"/>
        <w:tblLook w:firstRow="0" w:lastRow="0" w:firstColumn="0" w:lastColumn="0" w:noHBand="0" w:noVBand="0" w:val="0000"/>
      </w:tblPr>
      <w:tblGrid>
        <w:gridCol w:w="3960"/>
        <w:gridCol w:w="3960"/>
      </w:tblGrid>
      <w:tr>
        <w:tc>
          <w:tcPr/>
          <w:p>
            <w:pPr>
              <w:pStyle w:val="Compact"/>
              <w:jc w:val="right"/>
            </w:pPr>
            <w:r>
              <w:rPr>
                <w:bCs/>
                <w:b/>
              </w:rPr>
              <w:t xml:space="preserve">Subtotal (excl. GST)</w:t>
            </w:r>
          </w:p>
        </w:tc>
        <w:tc>
          <w:tcPr/>
          <w:p>
            <w:pPr>
              <w:pStyle w:val="Compact"/>
              <w:jc w:val="left"/>
            </w:pPr>
            <w:r>
              <w:t xml:space="preserve">$50,110.00</w:t>
            </w:r>
          </w:p>
        </w:tc>
      </w:tr>
      <w:tr>
        <w:tc>
          <w:tcPr/>
          <w:p>
            <w:pPr>
              <w:pStyle w:val="Compact"/>
              <w:jc w:val="right"/>
            </w:pPr>
            <w:r>
              <w:t xml:space="preserve">GST (10%)</w:t>
            </w:r>
          </w:p>
        </w:tc>
        <w:tc>
          <w:tcPr/>
          <w:p>
            <w:pPr>
              <w:pStyle w:val="Compact"/>
              <w:jc w:val="left"/>
            </w:pPr>
            <w:r>
              <w:t xml:space="preserve">$5,011.00</w:t>
            </w:r>
          </w:p>
        </w:tc>
      </w:tr>
      <w:tr>
        <w:tc>
          <w:tcPr/>
          <w:p>
            <w:pPr>
              <w:pStyle w:val="Compact"/>
              <w:jc w:val="right"/>
            </w:pPr>
            <w:r>
              <w:t xml:space="preserve">Grand Total (incl. GST)</w:t>
            </w:r>
          </w:p>
        </w:tc>
        <w:tc>
          <w:tcPr/>
          <w:p>
            <w:pPr>
              <w:pStyle w:val="Compact"/>
              <w:jc w:val="left"/>
            </w:pPr>
            <w:r>
              <w:t xml:space="preserve">$55,121.00</w:t>
            </w:r>
          </w:p>
        </w:tc>
      </w:tr>
      <w:tr>
        <w:tc>
          <w:tcPr/>
          <w:p>
            <w:pPr>
              <w:pStyle w:val="Compact"/>
              <w:jc w:val="right"/>
            </w:pPr>
            <w:r>
              <w:t xml:space="preserve">Freight &amp; Delivery (Sydney Metro)</w:t>
            </w:r>
          </w:p>
        </w:tc>
        <w:tc>
          <w:tcPr/>
          <w:p>
            <w:pPr>
              <w:pStyle w:val="Compact"/>
              <w:jc w:val="left"/>
            </w:pPr>
            <w:r>
              <w:t xml:space="preserve">$245.00</w:t>
            </w:r>
          </w:p>
        </w:tc>
      </w:tr>
      <w:tr>
        <w:tc>
          <w:tcPr/>
          <w:p>
            <w:pPr>
              <w:pStyle w:val="Compact"/>
              <w:jc w:val="right"/>
            </w:pPr>
            <w:r>
              <w:t xml:space="preserve">Total Amount Due (AUD)</w:t>
            </w:r>
          </w:p>
        </w:tc>
        <w:tc>
          <w:tcPr/>
          <w:p>
            <w:pPr>
              <w:pStyle w:val="Compact"/>
              <w:jc w:val="left"/>
            </w:pPr>
            <w:r>
              <w:t xml:space="preserve">$55,366.00</w:t>
            </w:r>
          </w:p>
        </w:tc>
      </w:tr>
    </w:tbl>
    <w:bookmarkEnd w:id="23"/>
    <w:bookmarkStart w:id="24"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New South Wales, Australia, and the Commonwealth of Australia. Any disputes arising from this Purchase Order shall be subject to the exclusive jurisdiction of the courts of Australia Sydney.</w:t>
      </w:r>
    </w:p>
    <w:p>
      <w:pPr>
        <w:numPr>
          <w:ilvl w:val="0"/>
          <w:numId w:val="1001"/>
        </w:numPr>
        <w:pStyle w:val="Compact"/>
      </w:pPr>
      <w:r>
        <w:rPr>
          <w:bCs/>
          <w:b/>
        </w:rPr>
        <w:t xml:space="preserve">Payment Terms:</w:t>
      </w:r>
      <w:r>
        <w:t xml:space="preserve"> </w:t>
      </w:r>
      <w:r>
        <w:t xml:space="preserve">Payment is due within thirty (30) calendar days from the date of invoice receipt. Payment shall be made via Electronic Funds Transfer (EFT) to the supplier's nominated Australian bank account. The Buyer, as a registered Veterinarian practice in Australia Sydney, is GST-registered and will claim input tax credits in accordance with ATO regulations.</w:t>
      </w:r>
    </w:p>
    <w:p>
      <w:pPr>
        <w:numPr>
          <w:ilvl w:val="0"/>
          <w:numId w:val="1001"/>
        </w:numPr>
        <w:pStyle w:val="Compact"/>
      </w:pPr>
      <w:r>
        <w:rPr>
          <w:bCs/>
          <w:b/>
        </w:rPr>
        <w:t xml:space="preserve">Delivery:</w:t>
      </w:r>
      <w:r>
        <w:t xml:space="preserve"> </w:t>
      </w:r>
      <w:r>
        <w:t xml:space="preserve">All goods must be delivered to the Buyer's premises at 124 Parramatta Road, Ultimo, Sydney NSW 2007, Australia, no later than 28 June 2025. Delivery must occur between 08:00 and 16:00 AEST on business days. The supplier bears all risk of loss or damage until goods are received and signed for by the Buyer's authorised representative.</w:t>
      </w:r>
    </w:p>
    <w:p>
      <w:pPr>
        <w:numPr>
          <w:ilvl w:val="0"/>
          <w:numId w:val="1001"/>
        </w:numPr>
        <w:pStyle w:val="Compact"/>
      </w:pPr>
      <w:r>
        <w:rPr>
          <w:bCs/>
          <w:b/>
        </w:rPr>
        <w:t xml:space="preserve">Quality and Compliance:</w:t>
      </w:r>
      <w:r>
        <w:t xml:space="preserve"> </w:t>
      </w:r>
      <w:r>
        <w:t xml:space="preserve">All pharmaceutical products and veterinary supplies must comply with the standards set by the Australian Pesticides and Veterinary Medicines Authority (APVMA) and the Therapeutic Goods Administration (TGA). The Veterinarian in charge, Dr. Sarah Mitchell, reserves the right to reject any items that do not meet Australian regulatory standards or that are past their expiry date by more than six (6) months.</w:t>
      </w:r>
    </w:p>
    <w:p>
      <w:pPr>
        <w:numPr>
          <w:ilvl w:val="0"/>
          <w:numId w:val="1001"/>
        </w:numPr>
        <w:pStyle w:val="Compact"/>
      </w:pPr>
      <w:r>
        <w:rPr>
          <w:bCs/>
          <w:b/>
        </w:rPr>
        <w:t xml:space="preserve">Warranty:</w:t>
      </w:r>
      <w:r>
        <w:t xml:space="preserve"> </w:t>
      </w:r>
      <w:r>
        <w:t xml:space="preserve">The supplier warrants that all goods supplied under this Purchase Order are new, unused, free from defects, and fit for their intended veterinary clinical purpose. A minimum twelve (12) month manufacturer's warranty applies to all diagnostic equipment items (Items 04).</w:t>
      </w:r>
    </w:p>
    <w:p>
      <w:pPr>
        <w:numPr>
          <w:ilvl w:val="0"/>
          <w:numId w:val="1001"/>
        </w:numPr>
        <w:pStyle w:val="Compact"/>
      </w:pPr>
      <w:r>
        <w:rPr>
          <w:bCs/>
          <w:b/>
        </w:rPr>
        <w:t xml:space="preserve">Intellectual Property and Branding:</w:t>
      </w:r>
      <w:r>
        <w:t xml:space="preserve"> </w:t>
      </w:r>
      <w:r>
        <w:t xml:space="preserve">All trademarks, product names, and proprietary formulations referenced in this Purchase Order remain the intellectual property of their respective manufacturers. The Buyer acknowledges that this Purchase Order does not grant any rights beyond the purchase and clinical use of the specified veterinary products.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results from events beyond reasonable control, including but not limited to natural disasters affecting the Australia Sydney region, government-imposed restrictions, or supply chain disruptions.</w:t>
      </w:r>
    </w:p>
    <w:p>
      <w:pPr>
        <w:numPr>
          <w:ilvl w:val="0"/>
          <w:numId w:val="1001"/>
        </w:numPr>
        <w:pStyle w:val="Compact"/>
      </w:pPr>
      <w:r>
        <w:rPr>
          <w:bCs/>
          <w:b/>
        </w:rPr>
        <w:t xml:space="preserve">Confidentiality:</w:t>
      </w:r>
      <w:r>
        <w:t xml:space="preserve"> </w:t>
      </w:r>
      <w:r>
        <w:t xml:space="preserve">Both parties agree to maintain the confidentiality of all pricing, commercial terms, and clinical procurement data exchanged in connection with this Purchase Order. This obligation survives termination for a period of three (3) years.</w:t>
      </w:r>
    </w:p>
    <w:p>
      <w:pPr>
        <w:numPr>
          <w:ilvl w:val="0"/>
          <w:numId w:val="1001"/>
        </w:numPr>
        <w:pStyle w:val="Compact"/>
      </w:pPr>
      <w:r>
        <w:rPr>
          <w:bCs/>
          <w:b/>
        </w:rPr>
        <w:t xml:space="preserve">Amendments:</w:t>
      </w:r>
      <w:r>
        <w:t xml:space="preserve"> </w:t>
      </w:r>
      <w:r>
        <w:t xml:space="preserve">Any amendments to this Purchase Order must be made in writing and signed by authorised representatives of both the Veterinarian practice and the supplier. Verbal agreements or email confirmations alone do not constitute valid amendments.</w:t>
      </w:r>
    </w:p>
    <w:p>
      <w:pPr>
        <w:numPr>
          <w:ilvl w:val="0"/>
          <w:numId w:val="1001"/>
        </w:numPr>
        <w:pStyle w:val="Compact"/>
      </w:pPr>
      <w:r>
        <w:rPr>
          <w:bCs/>
          <w:b/>
        </w:rPr>
        <w:t xml:space="preserve">Dispute Resolution:</w:t>
      </w:r>
      <w:r>
        <w:t xml:space="preserve"> </w:t>
      </w:r>
      <w:r>
        <w:t xml:space="preserve">In the event of a dispute, both parties shall first attempt to resolve the matter through good-faith negotiation. If unresolved within fourteen (14) days, the matter may be referred to mediation under the</w:t>
      </w:r>
      <w:r>
        <w:t xml:space="preserve"> </w:t>
      </w:r>
      <w:r>
        <w:rPr>
          <w:iCs/>
          <w:i/>
        </w:rPr>
        <w:t xml:space="preserve">Mediation Act 2011</w:t>
      </w:r>
      <w:r>
        <w:t xml:space="preserve"> </w:t>
      </w:r>
      <w:r>
        <w:t xml:space="preserve">(NSW) before proceeding to litigation in the courts of Australia Sydney.</w:t>
      </w:r>
    </w:p>
    <w:bookmarkEnd w:id="24"/>
    <w:bookmarkStart w:id="25" w:name="authorisation-and-signatures"/>
    <w:p>
      <w:pPr>
        <w:pStyle w:val="Heading2"/>
      </w:pPr>
      <w:r>
        <w:t xml:space="preserve">Authorisation and Signatures</w:t>
      </w:r>
    </w:p>
    <w:p>
      <w:pPr>
        <w:pStyle w:val="FirstParagraph"/>
      </w:pPr>
      <w:r>
        <w:t xml:space="preserve">This Purchase Order is authorised and executed by the undersigned, who confirm that they have the legal authority to bind their respective organisations to the terms set forth herein. By signing, the Veterinarian practice in Australia Sydney commits to the procurement of the listed veterinary supplies, and the supplier commits to delivering the goods in accordance with the specified terms.</w:t>
      </w:r>
    </w:p>
    <w:p>
      <w:pPr>
        <w:pStyle w:val="BodyText"/>
      </w:pPr>
      <w:r>
        <w:rPr>
          <w:bCs/>
          <w:b/>
        </w:rPr>
        <w:t xml:space="preserve">For and on behalf of the Buyer (Veterinarian Practice):</w:t>
      </w:r>
    </w:p>
    <w:p>
      <w:pPr>
        <w:pStyle w:val="BodyText"/>
      </w:pPr>
      <w:r>
        <w:t xml:space="preserve">Name: Dr. Sarah Mitchell, BVSc, MRCVS</w:t>
      </w:r>
    </w:p>
    <w:p>
      <w:pPr>
        <w:pStyle w:val="BodyText"/>
      </w:pPr>
      <w:r>
        <w:t xml:space="preserve">Title: Lead Veterinarian &amp; Practice Director</w:t>
      </w:r>
    </w:p>
    <w:p>
      <w:pPr>
        <w:pStyle w:val="BodyText"/>
      </w:pPr>
      <w:r>
        <w:t xml:space="preserve">Harbour City Veterinary Clinic, Sydney NSW</w:t>
      </w:r>
    </w:p>
    <w:p>
      <w:pPr>
        <w:pStyle w:val="BodyText"/>
      </w:pPr>
      <w:r>
        <w:t xml:space="preserve">Signature: ___________________________</w:t>
      </w:r>
    </w:p>
    <w:p>
      <w:pPr>
        <w:pStyle w:val="BodyText"/>
      </w:pPr>
      <w:r>
        <w:t xml:space="preserve">Date: 14/06/2025</w:t>
      </w:r>
    </w:p>
    <w:p>
      <w:pPr>
        <w:pStyle w:val="BodyText"/>
      </w:pPr>
      <w:r>
        <w:rPr>
          <w:bCs/>
          <w:b/>
        </w:rPr>
        <w:t xml:space="preserve">For and on behalf of the Supplier:</w:t>
      </w:r>
    </w:p>
    <w:p>
      <w:pPr>
        <w:pStyle w:val="BodyText"/>
      </w:pPr>
      <w:r>
        <w:t xml:space="preserve">Name: James Thornton</w:t>
      </w:r>
    </w:p>
    <w:p>
      <w:pPr>
        <w:pStyle w:val="BodyText"/>
      </w:pPr>
      <w:r>
        <w:t xml:space="preserve">Title: Sales Manager</w:t>
      </w:r>
    </w:p>
    <w:p>
      <w:pPr>
        <w:pStyle w:val="BodyText"/>
      </w:pPr>
      <w:r>
        <w:t xml:space="preserve">Aussie Vet Supplies Pty Ltd, Wetherill Park NSW</w:t>
      </w:r>
    </w:p>
    <w:p>
      <w:pPr>
        <w:pStyle w:val="BodyText"/>
      </w:pPr>
      <w:r>
        <w:t xml:space="preserve">Signature: ___________________________</w:t>
      </w:r>
    </w:p>
    <w:p>
      <w:pPr>
        <w:pStyle w:val="BodyText"/>
      </w:pPr>
      <w:r>
        <w:t xml:space="preserve">Date: _____________</w:t>
      </w:r>
    </w:p>
    <w:p>
      <w:pPr>
        <w:pStyle w:val="BodyText"/>
      </w:pPr>
      <w:r>
        <w:t xml:space="preserve">Purchase Order VET-SYD-2025-04872 — Harbour City Veterinary Clinic, Australia Sydney — Page 1 of 1</w:t>
      </w:r>
    </w:p>
    <w:p>
      <w:pPr>
        <w:pStyle w:val="BodyText"/>
      </w:pPr>
      <w:r>
        <w:t xml:space="preserve">This document is issued in accordance with Australian commercial procurement standards. All amounts are quoted in Australian Dollars (AUD) inclusive of 10% GST unless otherwise stated.</w:t>
      </w:r>
    </w:p>
    <w:p>
      <w:pPr>
        <w:pStyle w:val="BodyText"/>
      </w:pPr>
      <w:r>
        <w:t xml:space="preserve">© 2025 Harbour City Veterinary Clinic. All rights reserved. ABN 54 123 456 789.</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Veterinary Practice - Australia Sydney</dc:title>
  <dc:creator/>
  <dc:language>en</dc:language>
  <cp:keywords/>
  <dcterms:created xsi:type="dcterms:W3CDTF">2026-10-10T03:47:41Z</dcterms:created>
  <dcterms:modified xsi:type="dcterms:W3CDTF">2026-10-10T03:47:41Z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