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Veterinarian</w:t>
      </w:r>
      <w:r>
        <w:t xml:space="preserve"> </w:t>
      </w:r>
      <w:r>
        <w:t xml:space="preserve">Clinic</w:t>
      </w:r>
      <w:r>
        <w:t xml:space="preserve"> </w:t>
      </w:r>
      <w:r>
        <w:t xml:space="preserve">-</w:t>
      </w:r>
      <w:r>
        <w:t xml:space="preserve"> </w:t>
      </w:r>
      <w:r>
        <w:t xml:space="preserve">Egypt</w:t>
      </w:r>
      <w:r>
        <w:t xml:space="preserve"> </w:t>
      </w:r>
      <w:r>
        <w:t xml:space="preserve">Alexandria</w:t>
      </w:r>
    </w:p>
    <w:p>
      <w:pPr>
        <w:pStyle w:val="FirstParagraph"/>
      </w:pPr>
      <w:r>
        <w:t xml:space="preserve">Official Document</w:t>
      </w:r>
    </w:p>
    <w:bookmarkStart w:id="20" w:name="purchase-order"/>
    <w:p>
      <w:pPr>
        <w:pStyle w:val="Heading1"/>
      </w:pPr>
      <w:r>
        <w:t xml:space="preserve">Purchase Order</w:t>
      </w:r>
    </w:p>
    <w:p>
      <w:pPr>
        <w:pStyle w:val="FirstParagraph"/>
      </w:pPr>
      <w:r>
        <w:t xml:space="preserve">Veterinarian Clinic Supply Procurement — Egypt Alexandria</w:t>
      </w:r>
    </w:p>
    <w:bookmarkEnd w:id="20"/>
    <w:bookmarkStart w:id="21" w:name="buyer-veterinarian-clinic"/>
    <w:p>
      <w:pPr>
        <w:pStyle w:val="Heading3"/>
      </w:pPr>
      <w:r>
        <w:t xml:space="preserve">Buyer (Veterinarian Clinic)</w:t>
      </w:r>
    </w:p>
    <w:p>
      <w:pPr>
        <w:pStyle w:val="FirstParagraph"/>
      </w:pPr>
      <w:r>
        <w:rPr>
          <w:bCs/>
          <w:b/>
        </w:rPr>
        <w:t xml:space="preserve">Alexandria Coastal Veterinary Clinic</w:t>
      </w:r>
    </w:p>
    <w:p>
      <w:pPr>
        <w:pStyle w:val="BodyText"/>
      </w:pPr>
      <w:r>
        <w:t xml:space="preserve">142 Corniche El-Nil Street</w:t>
      </w:r>
    </w:p>
    <w:p>
      <w:pPr>
        <w:pStyle w:val="BodyText"/>
      </w:pPr>
      <w:r>
        <w:t xml:space="preserve">Smouha District, Alexandria, Egypt</w:t>
      </w:r>
    </w:p>
    <w:p>
      <w:pPr>
        <w:pStyle w:val="BodyText"/>
      </w:pPr>
      <w:r>
        <w:t xml:space="preserve">Phone: +20 3 555 1234</w:t>
      </w:r>
    </w:p>
    <w:p>
      <w:pPr>
        <w:pStyle w:val="BodyText"/>
      </w:pPr>
      <w:r>
        <w:t xml:space="preserve">Email: procurement@alexvetclinic.eg</w:t>
      </w:r>
    </w:p>
    <w:p>
      <w:pPr>
        <w:pStyle w:val="BodyText"/>
      </w:pPr>
      <w:r>
        <w:t xml:space="preserve">Tax ID: 552-884-1093</w:t>
      </w:r>
    </w:p>
    <w:bookmarkEnd w:id="21"/>
    <w:bookmarkStart w:id="22" w:name="supplier-vendor"/>
    <w:p>
      <w:pPr>
        <w:pStyle w:val="Heading3"/>
      </w:pPr>
      <w:r>
        <w:t xml:space="preserve">Supplier / Vendor</w:t>
      </w:r>
    </w:p>
    <w:p>
      <w:pPr>
        <w:pStyle w:val="FirstParagraph"/>
      </w:pPr>
      <w:r>
        <w:rPr>
          <w:bCs/>
          <w:b/>
        </w:rPr>
        <w:t xml:space="preserve">Mediterranean Vet Supplies Co.</w:t>
      </w:r>
    </w:p>
    <w:p>
      <w:pPr>
        <w:pStyle w:val="BodyText"/>
      </w:pPr>
      <w:r>
        <w:t xml:space="preserve">78 Industrial Zone, 10th of Ramadan Road</w:t>
      </w:r>
    </w:p>
    <w:p>
      <w:pPr>
        <w:pStyle w:val="BodyText"/>
      </w:pPr>
      <w:r>
        <w:t xml:space="preserve">Alexandria, Egypt</w:t>
      </w:r>
    </w:p>
    <w:p>
      <w:pPr>
        <w:pStyle w:val="BodyText"/>
      </w:pPr>
      <w:r>
        <w:t xml:space="preserve">Phone: +20 3 488 7766</w:t>
      </w:r>
    </w:p>
    <w:p>
      <w:pPr>
        <w:pStyle w:val="BodyText"/>
      </w:pPr>
      <w:r>
        <w:t xml:space="preserve">Email: sales@medvet-supplies.eg</w:t>
      </w:r>
    </w:p>
    <w:p>
      <w:pPr>
        <w:pStyle w:val="BodyText"/>
      </w:pPr>
      <w:r>
        <w:t xml:space="preserve">Commercial Reg. No: 4471-A</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Purchase Order No.:</w:t>
            </w:r>
          </w:p>
        </w:tc>
        <w:tc>
          <w:tcPr/>
          <w:p>
            <w:pPr>
              <w:pStyle w:val="Compact"/>
              <w:jc w:val="left"/>
            </w:pPr>
            <w:r>
              <w:t xml:space="preserve">PO-EG-ALX-2025-00487</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Required Delivery Date:</w:t>
            </w:r>
          </w:p>
        </w:tc>
        <w:tc>
          <w:tcPr/>
          <w:p>
            <w:pPr>
              <w:pStyle w:val="Compact"/>
              <w:jc w:val="left"/>
            </w:pPr>
            <w:r>
              <w:t xml:space="preserve">28 June 2025</w:t>
            </w:r>
          </w:p>
        </w:tc>
      </w:tr>
      <w:tr>
        <w:tc>
          <w:tcPr/>
          <w:p>
            <w:pPr>
              <w:pStyle w:val="Compact"/>
              <w:jc w:val="left"/>
            </w:pPr>
            <w:r>
              <w:t xml:space="preserve">Delivery Location:</w:t>
            </w:r>
          </w:p>
        </w:tc>
        <w:tc>
          <w:tcPr/>
          <w:p>
            <w:pPr>
              <w:pStyle w:val="Compact"/>
              <w:jc w:val="left"/>
            </w:pPr>
            <w:r>
              <w:t xml:space="preserve">Alexandria Coastal Veterinary Clinic, Smouha, Egypt Alexandria</w:t>
            </w:r>
          </w:p>
        </w:tc>
      </w:tr>
      <w:tr>
        <w:tc>
          <w:tcPr/>
          <w:p>
            <w:pPr>
              <w:pStyle w:val="Compact"/>
              <w:jc w:val="left"/>
            </w:pPr>
            <w:r>
              <w:t xml:space="preserve">Payment Terms:</w:t>
            </w:r>
          </w:p>
        </w:tc>
        <w:tc>
          <w:tcPr/>
          <w:p>
            <w:pPr>
              <w:pStyle w:val="Compact"/>
              <w:jc w:val="left"/>
            </w:pPr>
            <w:r>
              <w:t xml:space="preserve">Net 30 days from invoice date (Egyptian Pounds — EGP)</w:t>
            </w:r>
          </w:p>
        </w:tc>
      </w:tr>
      <w:tr>
        <w:tc>
          <w:tcPr/>
          <w:p>
            <w:pPr>
              <w:pStyle w:val="Compact"/>
              <w:jc w:val="left"/>
            </w:pPr>
            <w:r>
              <w:t xml:space="preserve">Incoterms:</w:t>
            </w:r>
          </w:p>
        </w:tc>
        <w:tc>
          <w:tcPr/>
          <w:p>
            <w:pPr>
              <w:pStyle w:val="Compact"/>
              <w:jc w:val="left"/>
            </w:pPr>
            <w:r>
              <w:t xml:space="preserve">DDP (Delivered Duty Paid) — Alexandria, Egypt</w:t>
            </w:r>
          </w:p>
        </w:tc>
      </w:tr>
      <w:tr>
        <w:tc>
          <w:tcPr/>
          <w:p>
            <w:pPr>
              <w:pStyle w:val="Compact"/>
              <w:jc w:val="left"/>
            </w:pPr>
            <w:r>
              <w:t xml:space="preserve">Currency:</w:t>
            </w:r>
          </w:p>
        </w:tc>
        <w:tc>
          <w:tcPr/>
          <w:p>
            <w:pPr>
              <w:pStyle w:val="Compact"/>
              <w:jc w:val="left"/>
            </w:pPr>
            <w:r>
              <w:t xml:space="preserve">EGP (Egyptian Pound)</w:t>
            </w:r>
          </w:p>
        </w:tc>
      </w:tr>
    </w:tbl>
    <w:bookmarkStart w:id="24" w:name="Xeb3a52c5bd251096d6d729549874b6257c9276f"/>
    <w:p>
      <w:pPr>
        <w:pStyle w:val="Heading2"/>
      </w:pPr>
      <w:r>
        <w:t xml:space="preserve">Line Items — Veterinarian Equipment, Medications &amp; Supplies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(EGP)</w:t>
            </w:r>
          </w:p>
        </w:tc>
        <w:tc>
          <w:tcPr/>
          <w:p>
            <w:pPr>
              <w:pStyle w:val="Compact"/>
              <w:jc w:val="left"/>
            </w:pPr>
            <w:r>
              <w:t xml:space="preserve">Total (EGP)</w:t>
            </w:r>
          </w:p>
        </w:tc>
      </w:tr>
      <w:tr>
        <w:tc>
          <w:tcPr/>
          <w:p>
            <w:pPr>
              <w:pStyle w:val="Compact"/>
              <w:jc w:val="left"/>
            </w:pPr>
            <w:r>
              <w:t xml:space="preserve">01</w:t>
            </w:r>
          </w:p>
        </w:tc>
        <w:tc>
          <w:tcPr/>
          <w:p>
            <w:pPr>
              <w:pStyle w:val="Compact"/>
              <w:jc w:val="left"/>
            </w:pPr>
            <w:r>
              <w:t xml:space="preserve">Digital Veterinary Thermometer (Infrared, Multi-Species) — for routine patient examinations at the Veterinarian clinic</w:t>
            </w:r>
          </w:p>
        </w:tc>
        <w:tc>
          <w:tcPr/>
          <w:p>
            <w:pPr>
              <w:pStyle w:val="Compact"/>
              <w:jc w:val="left"/>
            </w:pPr>
            <w:r>
              <w:t xml:space="preserve">10</w:t>
            </w:r>
          </w:p>
        </w:tc>
        <w:tc>
          <w:tcPr/>
          <w:p>
            <w:pPr>
              <w:pStyle w:val="Compact"/>
              <w:jc w:val="left"/>
            </w:pPr>
            <w:r>
              <w:t xml:space="preserve">pcs</w:t>
            </w:r>
          </w:p>
        </w:tc>
        <w:tc>
          <w:tcPr/>
          <w:p>
            <w:pPr>
              <w:pStyle w:val="Compact"/>
              <w:jc w:val="left"/>
            </w:pPr>
            <w:r>
              <w:t xml:space="preserve">1,850.00</w:t>
            </w:r>
          </w:p>
        </w:tc>
        <w:tc>
          <w:tcPr/>
          <w:p>
            <w:pPr>
              <w:pStyle w:val="Compact"/>
              <w:jc w:val="left"/>
            </w:pPr>
            <w:r>
              <w:t xml:space="preserve">18,500.00</w:t>
            </w:r>
          </w:p>
        </w:tc>
      </w:tr>
      <w:tr>
        <w:tc>
          <w:tcPr/>
          <w:p>
            <w:pPr>
              <w:pStyle w:val="Compact"/>
              <w:jc w:val="left"/>
            </w:pPr>
            <w:r>
              <w:t xml:space="preserve">02</w:t>
            </w:r>
          </w:p>
        </w:tc>
        <w:tc>
          <w:tcPr/>
          <w:p>
            <w:pPr>
              <w:pStyle w:val="Compact"/>
              <w:jc w:val="left"/>
            </w:pPr>
            <w:r>
              <w:t xml:space="preserve">Veterinary Surgical Scalpel Set (Blades #10, #11, #15, #22) — stainless steel, autoclavable</w:t>
            </w:r>
          </w:p>
        </w:tc>
        <w:tc>
          <w:tcPr/>
          <w:p>
            <w:pPr>
              <w:pStyle w:val="Compact"/>
              <w:jc w:val="left"/>
            </w:pPr>
            <w:r>
              <w:t xml:space="preserve">5</w:t>
            </w:r>
          </w:p>
        </w:tc>
        <w:tc>
          <w:tcPr/>
          <w:p>
            <w:pPr>
              <w:pStyle w:val="Compact"/>
              <w:jc w:val="left"/>
            </w:pPr>
            <w:r>
              <w:t xml:space="preserve">sets</w:t>
            </w:r>
          </w:p>
        </w:tc>
        <w:tc>
          <w:tcPr/>
          <w:p>
            <w:pPr>
              <w:pStyle w:val="Compact"/>
              <w:jc w:val="left"/>
            </w:pPr>
            <w:r>
              <w:t xml:space="preserve">3,200.00</w:t>
            </w:r>
          </w:p>
        </w:tc>
        <w:tc>
          <w:tcPr/>
          <w:p>
            <w:pPr>
              <w:pStyle w:val="Compact"/>
              <w:jc w:val="left"/>
            </w:pPr>
            <w:r>
              <w:t xml:space="preserve">16,000.00</w:t>
            </w:r>
          </w:p>
        </w:tc>
      </w:tr>
      <w:tr>
        <w:tc>
          <w:tcPr/>
          <w:p>
            <w:pPr>
              <w:pStyle w:val="Compact"/>
              <w:jc w:val="left"/>
            </w:pPr>
            <w:r>
              <w:t xml:space="preserve">03</w:t>
            </w:r>
          </w:p>
        </w:tc>
        <w:tc>
          <w:tcPr/>
          <w:p>
            <w:pPr>
              <w:pStyle w:val="Compact"/>
              <w:jc w:val="left"/>
            </w:pPr>
            <w:r>
              <w:t xml:space="preserve">Amoxicillin 250mg Veterinary Tablets (500 tablets/bottle) — broad-spectrum antibiotic for canine and feline patients</w:t>
            </w:r>
          </w:p>
        </w:tc>
        <w:tc>
          <w:tcPr/>
          <w:p>
            <w:pPr>
              <w:pStyle w:val="Compact"/>
              <w:jc w:val="left"/>
            </w:pPr>
            <w:r>
              <w:t xml:space="preserve">20</w:t>
            </w:r>
          </w:p>
        </w:tc>
        <w:tc>
          <w:tcPr/>
          <w:p>
            <w:pPr>
              <w:pStyle w:val="Compact"/>
              <w:jc w:val="left"/>
            </w:pPr>
            <w:r>
              <w:t xml:space="preserve">bottles</w:t>
            </w:r>
          </w:p>
        </w:tc>
        <w:tc>
          <w:tcPr/>
          <w:p>
            <w:pPr>
              <w:pStyle w:val="Compact"/>
              <w:jc w:val="left"/>
            </w:pPr>
            <w:r>
              <w:t xml:space="preserve">420.00</w:t>
            </w:r>
          </w:p>
        </w:tc>
        <w:tc>
          <w:tcPr/>
          <w:p>
            <w:pPr>
              <w:pStyle w:val="Compact"/>
              <w:jc w:val="left"/>
            </w:pPr>
            <w:r>
              <w:t xml:space="preserve">8,400.00</w:t>
            </w:r>
          </w:p>
        </w:tc>
      </w:tr>
      <w:tr>
        <w:tc>
          <w:tcPr/>
          <w:p>
            <w:pPr>
              <w:pStyle w:val="Compact"/>
              <w:jc w:val="left"/>
            </w:pPr>
            <w:r>
              <w:t xml:space="preserve">04</w:t>
            </w:r>
          </w:p>
        </w:tc>
        <w:tc>
          <w:tcPr/>
          <w:p>
            <w:pPr>
              <w:pStyle w:val="Compact"/>
              <w:jc w:val="left"/>
            </w:pPr>
            <w:r>
              <w:t xml:space="preserve">Enrofloxacin 50mg/ml Injectable Solution (100ml vials) — for treatment of bacterial infections in livestock and companion animals</w:t>
            </w:r>
          </w:p>
        </w:tc>
        <w:tc>
          <w:tcPr/>
          <w:p>
            <w:pPr>
              <w:pStyle w:val="Compact"/>
              <w:jc w:val="left"/>
            </w:pPr>
            <w:r>
              <w:t xml:space="preserve">15</w:t>
            </w:r>
          </w:p>
        </w:tc>
        <w:tc>
          <w:tcPr/>
          <w:p>
            <w:pPr>
              <w:pStyle w:val="Compact"/>
              <w:jc w:val="left"/>
            </w:pPr>
            <w:r>
              <w:t xml:space="preserve">vials</w:t>
            </w:r>
          </w:p>
        </w:tc>
        <w:tc>
          <w:tcPr/>
          <w:p>
            <w:pPr>
              <w:pStyle w:val="Compact"/>
              <w:jc w:val="left"/>
            </w:pPr>
            <w:r>
              <w:t xml:space="preserve">680.00</w:t>
            </w:r>
          </w:p>
        </w:tc>
        <w:tc>
          <w:tcPr/>
          <w:p>
            <w:pPr>
              <w:pStyle w:val="Compact"/>
              <w:jc w:val="left"/>
            </w:pPr>
            <w:r>
              <w:t xml:space="preserve">10,200.00</w:t>
            </w:r>
          </w:p>
        </w:tc>
      </w:tr>
      <w:tr>
        <w:tc>
          <w:tcPr/>
          <w:p>
            <w:pPr>
              <w:pStyle w:val="Compact"/>
              <w:jc w:val="left"/>
            </w:pPr>
            <w:r>
              <w:t xml:space="preserve">05</w:t>
            </w:r>
          </w:p>
        </w:tc>
        <w:tc>
          <w:tcPr/>
          <w:p>
            <w:pPr>
              <w:pStyle w:val="Compact"/>
              <w:jc w:val="left"/>
            </w:pPr>
            <w:r>
              <w:t xml:space="preserve">Veterinary IV Fluid Set (Sterile, 500ml Normal Saline) — for emergency and surgical fluid therapy</w:t>
            </w:r>
          </w:p>
        </w:tc>
        <w:tc>
          <w:tcPr/>
          <w:p>
            <w:pPr>
              <w:pStyle w:val="Compact"/>
              <w:jc w:val="left"/>
            </w:pPr>
            <w:r>
              <w:t xml:space="preserve">50</w:t>
            </w:r>
          </w:p>
        </w:tc>
        <w:tc>
          <w:tcPr/>
          <w:p>
            <w:pPr>
              <w:pStyle w:val="Compact"/>
              <w:jc w:val="left"/>
            </w:pPr>
            <w:r>
              <w:t xml:space="preserve">sets</w:t>
            </w:r>
          </w:p>
        </w:tc>
        <w:tc>
          <w:tcPr/>
          <w:p>
            <w:pPr>
              <w:pStyle w:val="Compact"/>
              <w:jc w:val="left"/>
            </w:pPr>
            <w:r>
              <w:t xml:space="preserve">95.00</w:t>
            </w:r>
          </w:p>
        </w:tc>
        <w:tc>
          <w:tcPr/>
          <w:p>
            <w:pPr>
              <w:pStyle w:val="Compact"/>
              <w:jc w:val="left"/>
            </w:pPr>
            <w:r>
              <w:t xml:space="preserve">4,750.00</w:t>
            </w:r>
          </w:p>
        </w:tc>
      </w:tr>
      <w:tr>
        <w:tc>
          <w:tcPr/>
          <w:p>
            <w:pPr>
              <w:pStyle w:val="Compact"/>
              <w:jc w:val="left"/>
            </w:pPr>
            <w:r>
              <w:t xml:space="preserve">06</w:t>
            </w:r>
          </w:p>
        </w:tc>
        <w:tc>
          <w:tcPr/>
          <w:p>
            <w:pPr>
              <w:pStyle w:val="Compact"/>
              <w:jc w:val="left"/>
            </w:pPr>
            <w:r>
              <w:t xml:space="preserve">Digital Veterinary Stethoscope (Dual Head, Canine/Feline) — for auscultation during Veterinarian consultations</w:t>
            </w:r>
          </w:p>
        </w:tc>
        <w:tc>
          <w:tcPr/>
          <w:p>
            <w:pPr>
              <w:pStyle w:val="Compact"/>
              <w:jc w:val="left"/>
            </w:pPr>
            <w:r>
              <w:t xml:space="preserve">4</w:t>
            </w:r>
          </w:p>
        </w:tc>
        <w:tc>
          <w:tcPr/>
          <w:p>
            <w:pPr>
              <w:pStyle w:val="Compact"/>
              <w:jc w:val="left"/>
            </w:pPr>
            <w:r>
              <w:t xml:space="preserve">pcs</w:t>
            </w:r>
          </w:p>
        </w:tc>
        <w:tc>
          <w:tcPr/>
          <w:p>
            <w:pPr>
              <w:pStyle w:val="Compact"/>
              <w:jc w:val="left"/>
            </w:pPr>
            <w:r>
              <w:t xml:space="preserve">5,600.00</w:t>
            </w:r>
          </w:p>
        </w:tc>
        <w:tc>
          <w:tcPr/>
          <w:p>
            <w:pPr>
              <w:pStyle w:val="Compact"/>
              <w:jc w:val="left"/>
            </w:pPr>
            <w:r>
              <w:t xml:space="preserve">22,400.00</w:t>
            </w:r>
          </w:p>
        </w:tc>
      </w:tr>
      <w:tr>
        <w:tc>
          <w:tcPr/>
          <w:p>
            <w:pPr>
              <w:pStyle w:val="Compact"/>
              <w:jc w:val="left"/>
            </w:pPr>
            <w:r>
              <w:t xml:space="preserve">07</w:t>
            </w:r>
          </w:p>
        </w:tc>
        <w:tc>
          <w:tcPr/>
          <w:p>
            <w:pPr>
              <w:pStyle w:val="Compact"/>
              <w:jc w:val="left"/>
            </w:pPr>
            <w:r>
              <w:t xml:space="preserve">Veterinary Examination Table (Hydraulic, 120x60cm) — for patient handling during clinical examinations</w:t>
            </w:r>
          </w:p>
        </w:tc>
        <w:tc>
          <w:tcPr/>
          <w:p>
            <w:pPr>
              <w:pStyle w:val="Compact"/>
              <w:jc w:val="left"/>
            </w:pPr>
            <w:r>
              <w:t xml:space="preserve">2</w:t>
            </w:r>
          </w:p>
        </w:tc>
        <w:tc>
          <w:tcPr/>
          <w:p>
            <w:pPr>
              <w:pStyle w:val="Compact"/>
              <w:jc w:val="left"/>
            </w:pPr>
            <w:r>
              <w:t xml:space="preserve">units</w:t>
            </w:r>
          </w:p>
        </w:tc>
        <w:tc>
          <w:tcPr/>
          <w:p>
            <w:pPr>
              <w:pStyle w:val="Compact"/>
              <w:jc w:val="left"/>
            </w:pPr>
            <w:r>
              <w:t xml:space="preserve">12,500.00</w:t>
            </w:r>
          </w:p>
        </w:tc>
        <w:tc>
          <w:tcPr/>
          <w:p>
            <w:pPr>
              <w:pStyle w:val="Compact"/>
              <w:jc w:val="left"/>
            </w:pPr>
            <w:r>
              <w:t xml:space="preserve">25,000.00</w:t>
            </w:r>
          </w:p>
        </w:tc>
      </w:tr>
      <w:tr>
        <w:tc>
          <w:tcPr/>
          <w:p>
            <w:pPr>
              <w:pStyle w:val="Compact"/>
              <w:jc w:val="left"/>
            </w:pPr>
            <w:r>
              <w:t xml:space="preserve">08</w:t>
            </w:r>
          </w:p>
        </w:tc>
        <w:tc>
          <w:tcPr/>
          <w:p>
            <w:pPr>
              <w:pStyle w:val="Compact"/>
              <w:jc w:val="left"/>
            </w:pPr>
            <w:r>
              <w:t xml:space="preserve">Feline and Canine Vaccines (Rabies, FVRCP, DHPP) — cold-chain packaged, 6-month shelf life</w:t>
            </w:r>
          </w:p>
        </w:tc>
        <w:tc>
          <w:tcPr/>
          <w:p>
            <w:pPr>
              <w:pStyle w:val="Compact"/>
              <w:jc w:val="left"/>
            </w:pPr>
            <w:r>
              <w:t xml:space="preserve">100</w:t>
            </w:r>
          </w:p>
        </w:tc>
        <w:tc>
          <w:tcPr/>
          <w:p>
            <w:pPr>
              <w:pStyle w:val="Compact"/>
              <w:jc w:val="left"/>
            </w:pPr>
            <w:r>
              <w:t xml:space="preserve">doses</w:t>
            </w:r>
          </w:p>
        </w:tc>
        <w:tc>
          <w:tcPr/>
          <w:p>
            <w:pPr>
              <w:pStyle w:val="Compact"/>
              <w:jc w:val="left"/>
            </w:pPr>
            <w:r>
              <w:t xml:space="preserve">185.00</w:t>
            </w:r>
          </w:p>
        </w:tc>
        <w:tc>
          <w:tcPr/>
          <w:p>
            <w:pPr>
              <w:pStyle w:val="Compact"/>
              <w:jc w:val="left"/>
            </w:pPr>
            <w:r>
              <w:t xml:space="preserve">18,500.00</w:t>
            </w:r>
          </w:p>
        </w:tc>
      </w:tr>
      <w:tr>
        <w:tc>
          <w:tcPr/>
          <w:p>
            <w:pPr>
              <w:pStyle w:val="Compact"/>
              <w:jc w:val="left"/>
            </w:pPr>
            <w:r>
              <w:t xml:space="preserve">09</w:t>
            </w:r>
          </w:p>
        </w:tc>
        <w:tc>
          <w:tcPr/>
          <w:p>
            <w:pPr>
              <w:pStyle w:val="Compact"/>
              <w:jc w:val="left"/>
            </w:pPr>
            <w:r>
              <w:t xml:space="preserve">Sterile Veterinary Surgical Gauze Rolls (10cm x 4.5m) — for wound management and post-operative care</w:t>
            </w:r>
          </w:p>
        </w:tc>
        <w:tc>
          <w:tcPr/>
          <w:p>
            <w:pPr>
              <w:pStyle w:val="Compact"/>
              <w:jc w:val="left"/>
            </w:pPr>
            <w:r>
              <w:t xml:space="preserve">200</w:t>
            </w:r>
          </w:p>
        </w:tc>
        <w:tc>
          <w:tcPr/>
          <w:p>
            <w:pPr>
              <w:pStyle w:val="Compact"/>
              <w:jc w:val="left"/>
            </w:pPr>
            <w:r>
              <w:t xml:space="preserve">rolls</w:t>
            </w:r>
          </w:p>
        </w:tc>
        <w:tc>
          <w:tcPr/>
          <w:p>
            <w:pPr>
              <w:pStyle w:val="Compact"/>
              <w:jc w:val="left"/>
            </w:pPr>
            <w:r>
              <w:t xml:space="preserve">35.00</w:t>
            </w:r>
          </w:p>
        </w:tc>
        <w:tc>
          <w:tcPr/>
          <w:p>
            <w:pPr>
              <w:pStyle w:val="Compact"/>
              <w:jc w:val="left"/>
            </w:pPr>
            <w:r>
              <w:t xml:space="preserve">7,000.00</w:t>
            </w:r>
          </w:p>
        </w:tc>
      </w:tr>
      <w:tr>
        <w:tc>
          <w:tcPr/>
          <w:p>
            <w:pPr>
              <w:pStyle w:val="Compact"/>
              <w:jc w:val="left"/>
            </w:pPr>
            <w:r>
              <w:t xml:space="preserve">10</w:t>
            </w:r>
          </w:p>
        </w:tc>
        <w:tc>
          <w:tcPr/>
          <w:p>
            <w:pPr>
              <w:pStyle w:val="Compact"/>
              <w:jc w:val="left"/>
            </w:pPr>
            <w:r>
              <w:t xml:space="preserve">Veterinary Anesthesia Machine (Portable, with Vaporizer) — for surgical procedures at the Egypt Alexandria clinic</w:t>
            </w:r>
          </w:p>
        </w:tc>
        <w:tc>
          <w:tcPr/>
          <w:p>
            <w:pPr>
              <w:pStyle w:val="Compact"/>
              <w:jc w:val="left"/>
            </w:pPr>
            <w:r>
              <w:t xml:space="preserve">1</w:t>
            </w:r>
          </w:p>
        </w:tc>
        <w:tc>
          <w:tcPr/>
          <w:p>
            <w:pPr>
              <w:pStyle w:val="Compact"/>
              <w:jc w:val="left"/>
            </w:pPr>
            <w:r>
              <w:t xml:space="preserve">unit</w:t>
            </w:r>
          </w:p>
        </w:tc>
        <w:tc>
          <w:tcPr/>
          <w:p>
            <w:pPr>
              <w:pStyle w:val="Compact"/>
              <w:jc w:val="left"/>
            </w:pPr>
            <w:r>
              <w:t xml:space="preserve">48,000.00</w:t>
            </w:r>
          </w:p>
        </w:tc>
        <w:tc>
          <w:tcPr/>
          <w:p>
            <w:pPr>
              <w:pStyle w:val="Compact"/>
              <w:jc w:val="left"/>
            </w:pPr>
            <w:r>
              <w:t xml:space="preserve">48,000.00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178,750.00 EGP</w:t>
            </w:r>
          </w:p>
        </w:tc>
      </w:tr>
      <w:tr>
        <w:tc>
          <w:tcPr/>
          <w:p>
            <w:pPr>
              <w:pStyle w:val="Compact"/>
              <w:jc w:val="left"/>
            </w:pPr>
            <w:r>
              <w:t xml:space="preserve">VAT (14% — Egypt Tax Authority):</w:t>
            </w:r>
          </w:p>
        </w:tc>
        <w:tc>
          <w:tcPr/>
          <w:p>
            <w:pPr>
              <w:pStyle w:val="Compact"/>
              <w:jc w:val="right"/>
            </w:pPr>
            <w:r>
              <w:t xml:space="preserve">25,025.00 EGP</w:t>
            </w:r>
          </w:p>
        </w:tc>
      </w:tr>
      <w:tr>
        <w:tc>
          <w:tcPr/>
          <w:p>
            <w:pPr>
              <w:pStyle w:val="Compact"/>
              <w:jc w:val="left"/>
            </w:pPr>
            <w:r>
              <w:t xml:space="preserve">Delivery &amp; Handling (Alexandria Metro):</w:t>
            </w:r>
          </w:p>
        </w:tc>
        <w:tc>
          <w:tcPr/>
          <w:p>
            <w:pPr>
              <w:pStyle w:val="Compact"/>
              <w:jc w:val="right"/>
            </w:pPr>
            <w:r>
              <w:t xml:space="preserve">2,500.00 EGP</w:t>
            </w:r>
          </w:p>
        </w:tc>
      </w:tr>
      <w:tr>
        <w:tc>
          <w:tcPr/>
          <w:p>
            <w:pPr>
              <w:pStyle w:val="Compact"/>
              <w:jc w:val="left"/>
            </w:pPr>
            <w:r>
              <w:t xml:space="preserve">Grand Total:</w:t>
            </w:r>
          </w:p>
        </w:tc>
        <w:tc>
          <w:tcPr/>
          <w:p>
            <w:pPr>
              <w:pStyle w:val="Compact"/>
              <w:jc w:val="right"/>
            </w:pPr>
            <w:r>
              <w:t xml:space="preserve">206,275.00 EGP</w:t>
            </w:r>
          </w:p>
        </w:tc>
      </w:tr>
    </w:tbl>
    <w:bookmarkStart w:id="23" w:name="terms-and-conditions"/>
    <w:p>
      <w:pPr>
        <w:pStyle w:val="Heading3"/>
      </w:pPr>
      <w:r>
        <w:t xml:space="preserve">Terms and Conditions</w:t>
      </w:r>
    </w:p>
    <w:p>
      <w:pPr>
        <w:numPr>
          <w:ilvl w:val="0"/>
          <w:numId w:val="1001"/>
        </w:numPr>
        <w:pStyle w:val="Compact"/>
      </w:pPr>
      <w:r>
        <w:t xml:space="preserve">This Purchase Order is issued by Alexandria Coastal Veterinary Clinic, a licensed Veterinarian practice registered under the Egyptian Veterinary Syndicate, Alexandria Branch. All items listed herein are procured exclusively for the clinical and surgical operations of this Veterinarian facility located in Egypt Alexandria.</w:t>
      </w:r>
    </w:p>
    <w:p>
      <w:pPr>
        <w:numPr>
          <w:ilvl w:val="0"/>
          <w:numId w:val="1001"/>
        </w:numPr>
        <w:pStyle w:val="Compact"/>
      </w:pPr>
      <w:r>
        <w:t xml:space="preserve">The supplier shall deliver all goods to the specified address in Smouha, Alexandria, Egypt, no later than the Required Delivery Date stated above. Late delivery beyond five (5) business days entitles the Veterinarian clinic to a penalty of 1% of the total Purchase Order value per day of delay.</w:t>
      </w:r>
    </w:p>
    <w:p>
      <w:pPr>
        <w:numPr>
          <w:ilvl w:val="0"/>
          <w:numId w:val="1001"/>
        </w:numPr>
        <w:pStyle w:val="Compact"/>
      </w:pPr>
      <w:r>
        <w:t xml:space="preserve">All veterinary medications, vaccines, and biological products must be accompanied by valid Egyptian Ministry of Health import permits, batch numbers, and cold-chain integrity certificates. The Veterinarian in charge will inspect all pharmaceutical items upon receipt before accepting delivery.</w:t>
      </w:r>
    </w:p>
    <w:p>
      <w:pPr>
        <w:numPr>
          <w:ilvl w:val="0"/>
          <w:numId w:val="1001"/>
        </w:numPr>
        <w:pStyle w:val="Compact"/>
      </w:pPr>
      <w:r>
        <w:t xml:space="preserve">Payment shall be made via bank transfer to the supplier's registered account in Egypt within thirty (30) calendar days from the date of the commercial invoice, subject to satisfactory inspection and acceptance of all goods by the Veterinarian clinic's procurement officer.</w:t>
      </w:r>
    </w:p>
    <w:p>
      <w:pPr>
        <w:numPr>
          <w:ilvl w:val="0"/>
          <w:numId w:val="1001"/>
        </w:numPr>
        <w:pStyle w:val="Compact"/>
      </w:pPr>
      <w:r>
        <w:t xml:space="preserve">All equipment and supplies must comply with Egyptian Standards Organization (EGS) regulations and the Egyptian Veterinary Medical Association guidelines for clinical use in Egypt Alexandria.</w:t>
      </w:r>
    </w:p>
    <w:p>
      <w:pPr>
        <w:numPr>
          <w:ilvl w:val="0"/>
          <w:numId w:val="1001"/>
        </w:numPr>
        <w:pStyle w:val="Compact"/>
      </w:pPr>
      <w:r>
        <w:t xml:space="preserve">The supplier warrants that all items are new, unused, and free from defects. A minimum warranty of twelve (12) months applies to all equipment items. The Veterinarian clinic reserves the right to reject non-conforming goods and request replacement or full refund.</w:t>
      </w:r>
    </w:p>
    <w:p>
      <w:pPr>
        <w:numPr>
          <w:ilvl w:val="0"/>
          <w:numId w:val="1001"/>
        </w:numPr>
        <w:pStyle w:val="Compact"/>
      </w:pPr>
      <w:r>
        <w:t xml:space="preserve">This Purchase Order is governed by the laws of the Arab Republic of Egypt. Any disputes arising from this transaction shall be resolved through the competent courts in Alexandria, Egypt.</w:t>
      </w:r>
    </w:p>
    <w:p>
      <w:pPr>
        <w:numPr>
          <w:ilvl w:val="0"/>
          <w:numId w:val="1001"/>
        </w:numPr>
        <w:pStyle w:val="Compact"/>
      </w:pPr>
      <w:r>
        <w:t xml:space="preserve">The supplier acknowledges that the goods are intended for use by a licensed Veterinarian and shall not be resold or diverted. The Veterinarian clinic assumes full clinical responsibility for the administration of all medications and the use of all equipment listed in this Purchase Order.</w:t>
      </w:r>
    </w:p>
    <w:p>
      <w:pPr>
        <w:numPr>
          <w:ilvl w:val="0"/>
          <w:numId w:val="1001"/>
        </w:numPr>
        <w:pStyle w:val="Compact"/>
      </w:pPr>
      <w:r>
        <w:t xml:space="preserve">Any amendments to this Purchase Order must be made in writing and signed by both parties. Verbal modifications are not binding.</w:t>
      </w:r>
    </w:p>
    <w:bookmarkEnd w:id="23"/>
    <w:p>
      <w:pPr>
        <w:pStyle w:val="FirstParagraph"/>
      </w:pPr>
      <w:r>
        <w:rPr>
          <w:bCs/>
          <w:b/>
        </w:rPr>
        <w:t xml:space="preserve">Authorized Signatory — Buyer</w:t>
      </w:r>
      <w:r>
        <w:br/>
      </w:r>
      <w:r>
        <w:t xml:space="preserve">Dr. Mahmoud El-Sayed, DVM</w:t>
      </w:r>
      <w:r>
        <w:br/>
      </w:r>
      <w:r>
        <w:t xml:space="preserve">Lead Veterinarian &amp; Clinic Director</w:t>
      </w:r>
      <w:r>
        <w:br/>
      </w:r>
      <w:r>
        <w:t xml:space="preserve">Alexandria Coastal Veterinary Clinic</w:t>
      </w:r>
      <w:r>
        <w:br/>
      </w:r>
      <w:r>
        <w:t xml:space="preserve">Date: _______________</w:t>
      </w:r>
    </w:p>
    <w:p>
      <w:pPr>
        <w:pStyle w:val="BodyText"/>
      </w:pPr>
      <w:r>
        <w:rPr>
          <w:bCs/>
          <w:b/>
        </w:rPr>
        <w:t xml:space="preserve">Authorized Signatory — Supplier</w:t>
      </w:r>
      <w:r>
        <w:br/>
      </w:r>
      <w:r>
        <w:t xml:space="preserve">Mr. Tarek Hassan</w:t>
      </w:r>
      <w:r>
        <w:br/>
      </w:r>
      <w:r>
        <w:t xml:space="preserve">Sales &amp; Distribution Manager</w:t>
      </w:r>
      <w:r>
        <w:br/>
      </w:r>
      <w:r>
        <w:t xml:space="preserve">Mediterranean Vet Supplies Co.</w:t>
      </w:r>
      <w:r>
        <w:br/>
      </w:r>
      <w:r>
        <w:t xml:space="preserve">Date: _______________</w:t>
      </w:r>
    </w:p>
    <w:p>
      <w:pPr>
        <w:pStyle w:val="BodyText"/>
      </w:pPr>
      <w:r>
        <w:t xml:space="preserve">This Purchase Order (PO-EG-ALX-2025-00487) is an official procurement document of Alexandria Coastal Veterinary Clinic, Egypt Alexandria. It is valid for acceptance within fourteen (14) calendar days from the date of issue. For inquiries, contact the procurement department at procurement@alexvetclinic.eg or +20 3 555 1234.</w:t>
      </w:r>
    </w:p>
    <w:p>
      <w:pPr>
        <w:pStyle w:val="BodyText"/>
      </w:pPr>
      <w:r>
        <w:t xml:space="preserve">Document generated in accordance with Egyptian commercial procurement standards. © 2025 Alexandria Coastal Veterinary Clinic. All rights reserved.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Veterinarian Clinic - Egypt Alexandria</dc:title>
  <dc:creator/>
  <dc:language>en</dc:language>
  <cp:keywords/>
  <dcterms:created xsi:type="dcterms:W3CDTF">2026-10-10T02:44:04Z</dcterms:created>
  <dcterms:modified xsi:type="dcterms:W3CDTF">2026-10-10T02:44:04Z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