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Cairo,</w:t>
      </w:r>
      <w:r>
        <w:t xml:space="preserve"> </w:t>
      </w:r>
      <w:r>
        <w:t xml:space="preserve">Egypt</w:t>
      </w:r>
    </w:p>
    <w:bookmarkStart w:id="20" w:name="purchase-order"/>
    <w:p>
      <w:pPr>
        <w:pStyle w:val="Heading1"/>
      </w:pPr>
      <w:r>
        <w:t xml:space="preserve">PURCHASE ORDER</w:t>
      </w:r>
    </w:p>
    <w:p>
      <w:pPr>
        <w:pStyle w:val="FirstParagraph"/>
      </w:pPr>
      <w:r>
        <w:t xml:space="preserve">Veterinary Medical Supplies &amp; Equipment Procurement</w:t>
      </w:r>
    </w:p>
    <w:p>
      <w:pPr>
        <w:pStyle w:val="BodyText"/>
      </w:pPr>
      <w:r>
        <w:t xml:space="preserve">Cairo, Egypt — Republic of Egypt</w:t>
      </w:r>
    </w:p>
    <w:p>
      <w:pPr>
        <w:pStyle w:val="BodyText"/>
      </w:pPr>
      <w:r>
        <w:rPr>
          <w:bCs/>
          <w:b/>
        </w:rPr>
        <w:t xml:space="preserve">PO Number:</w:t>
      </w:r>
      <w:r>
        <w:t xml:space="preserve"> </w:t>
      </w:r>
      <w:r>
        <w:t xml:space="preserve">PO-EGY-CAI-2025-04782  | </w:t>
      </w:r>
      <w:r>
        <w:t xml:space="preserve"> </w:t>
      </w:r>
      <w:r>
        <w:rPr>
          <w:bCs/>
          <w:b/>
        </w:rPr>
        <w:t xml:space="preserve">Date of Issue:</w:t>
      </w:r>
      <w:r>
        <w:t xml:space="preserve"> </w:t>
      </w:r>
      <w:r>
        <w:t xml:space="preserve">14 June 2025  | </w:t>
      </w:r>
      <w:r>
        <w:t xml:space="preserve"> </w:t>
      </w:r>
      <w:r>
        <w:rPr>
          <w:bCs/>
          <w:b/>
        </w:rPr>
        <w:t xml:space="preserve">Valid Until:</w:t>
      </w:r>
      <w:r>
        <w:t xml:space="preserve"> </w:t>
      </w:r>
      <w:r>
        <w:t xml:space="preserve">14 July 2025</w:t>
      </w:r>
    </w:p>
    <w:bookmarkEnd w:id="20"/>
    <w:bookmarkStart w:id="21" w:name="buyer-veterinarian-veterinary-clinic"/>
    <w:p>
      <w:pPr>
        <w:pStyle w:val="Heading3"/>
      </w:pPr>
      <w:r>
        <w:t xml:space="preserve">Buyer (Veterinarian / Veterinary Clinic)</w:t>
      </w:r>
    </w:p>
    <w:p>
      <w:pPr>
        <w:pStyle w:val="FirstParagraph"/>
      </w:pPr>
      <w:r>
        <w:rPr>
          <w:bCs/>
          <w:b/>
        </w:rPr>
        <w:t xml:space="preserve">Clinic Name:</w:t>
      </w:r>
      <w:r>
        <w:t xml:space="preserve"> </w:t>
      </w:r>
      <w:r>
        <w:t xml:space="preserve">Nile Delta Veterinary Care Center</w:t>
      </w:r>
    </w:p>
    <w:p>
      <w:pPr>
        <w:pStyle w:val="BodyText"/>
      </w:pPr>
      <w:r>
        <w:rPr>
          <w:bCs/>
          <w:b/>
        </w:rPr>
        <w:t xml:space="preserve">Lead Veterinarian:</w:t>
      </w:r>
      <w:r>
        <w:t xml:space="preserve"> </w:t>
      </w:r>
      <w:r>
        <w:t xml:space="preserve">Dr. Amira Hassan El-Sayed, DVM, PhD</w:t>
      </w:r>
    </w:p>
    <w:p>
      <w:pPr>
        <w:pStyle w:val="BodyText"/>
      </w:pPr>
      <w:r>
        <w:rPr>
          <w:bCs/>
          <w:b/>
        </w:rPr>
        <w:t xml:space="preserve">Address:</w:t>
      </w:r>
      <w:r>
        <w:t xml:space="preserve"> </w:t>
      </w:r>
      <w:r>
        <w:t xml:space="preserve">42 El-Mohandessin Street, Dokki District, Giza Governorate, Cairo, Egypt 12577</w:t>
      </w:r>
    </w:p>
    <w:p>
      <w:pPr>
        <w:pStyle w:val="BodyText"/>
      </w:pPr>
      <w:r>
        <w:rPr>
          <w:bCs/>
          <w:b/>
        </w:rPr>
        <w:t xml:space="preserve">Phone:</w:t>
      </w:r>
      <w:r>
        <w:t xml:space="preserve"> </w:t>
      </w:r>
      <w:r>
        <w:t xml:space="preserve">+20 2 3336 8891</w:t>
      </w:r>
    </w:p>
    <w:p>
      <w:pPr>
        <w:pStyle w:val="BodyText"/>
      </w:pPr>
      <w:r>
        <w:rPr>
          <w:bCs/>
          <w:b/>
        </w:rPr>
        <w:t xml:space="preserve">Email:</w:t>
      </w:r>
      <w:r>
        <w:t xml:space="preserve"> </w:t>
      </w:r>
      <w:r>
        <w:t xml:space="preserve">procurement@niledeltavet.eg</w:t>
      </w:r>
    </w:p>
    <w:p>
      <w:pPr>
        <w:pStyle w:val="BodyText"/>
      </w:pPr>
      <w:r>
        <w:rPr>
          <w:bCs/>
          <w:b/>
        </w:rPr>
        <w:t xml:space="preserve">Tax Registration No.:</w:t>
      </w:r>
      <w:r>
        <w:t xml:space="preserve"> </w:t>
      </w:r>
      <w:r>
        <w:t xml:space="preserve">552-881-447-002</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MedVet Egypt Trading &amp; Distribution Co.</w:t>
      </w:r>
    </w:p>
    <w:p>
      <w:pPr>
        <w:pStyle w:val="BodyText"/>
      </w:pPr>
      <w:r>
        <w:rPr>
          <w:bCs/>
          <w:b/>
        </w:rPr>
        <w:t xml:space="preserve">Contact Person:</w:t>
      </w:r>
      <w:r>
        <w:t xml:space="preserve"> </w:t>
      </w:r>
      <w:r>
        <w:t xml:space="preserve">Mr. Karim Fathy, Sales Director</w:t>
      </w:r>
    </w:p>
    <w:p>
      <w:pPr>
        <w:pStyle w:val="BodyText"/>
      </w:pPr>
      <w:r>
        <w:rPr>
          <w:bCs/>
          <w:b/>
        </w:rPr>
        <w:t xml:space="preserve">Address:</w:t>
      </w:r>
      <w:r>
        <w:t xml:space="preserve"> </w:t>
      </w:r>
      <w:r>
        <w:t xml:space="preserve">18 Industrial Zone, 10th of Ramadan City, Qalyubia, Egypt 11511</w:t>
      </w:r>
    </w:p>
    <w:p>
      <w:pPr>
        <w:pStyle w:val="BodyText"/>
      </w:pPr>
      <w:r>
        <w:rPr>
          <w:bCs/>
          <w:b/>
        </w:rPr>
        <w:t xml:space="preserve">Phone:</w:t>
      </w:r>
      <w:r>
        <w:t xml:space="preserve"> </w:t>
      </w:r>
      <w:r>
        <w:t xml:space="preserve">+20 100 554 7723</w:t>
      </w:r>
    </w:p>
    <w:p>
      <w:pPr>
        <w:pStyle w:val="BodyText"/>
      </w:pPr>
      <w:r>
        <w:rPr>
          <w:bCs/>
          <w:b/>
        </w:rPr>
        <w:t xml:space="preserve">Email:</w:t>
      </w:r>
      <w:r>
        <w:t xml:space="preserve"> </w:t>
      </w:r>
      <w:r>
        <w:t xml:space="preserve">orders@medvetegypt.com</w:t>
      </w:r>
    </w:p>
    <w:p>
      <w:pPr>
        <w:pStyle w:val="BodyText"/>
      </w:pPr>
      <w:r>
        <w:rPr>
          <w:bCs/>
          <w:b/>
        </w:rPr>
        <w:t xml:space="preserve">Commercial Reg. No.:</w:t>
      </w:r>
      <w:r>
        <w:t xml:space="preserve"> </w:t>
      </w:r>
      <w:r>
        <w:t xml:space="preserve">CR-2019-44871</w:t>
      </w:r>
    </w:p>
    <w:bookmarkEnd w:id="22"/>
    <w:bookmarkStart w:id="24" w:name="X65ecd66a85a1512dbef01b17f77107f75aeccf5"/>
    <w:p>
      <w:pPr>
        <w:pStyle w:val="Heading2"/>
      </w:pPr>
      <w:r>
        <w:t xml:space="preserve">Order Details — Veterinary Supplies for Cairo Practice</w:t>
      </w:r>
    </w:p>
    <w:p>
      <w:pPr>
        <w:pStyle w:val="FirstParagraph"/>
      </w:pPr>
      <w:r>
        <w:t xml:space="preserve">The following items are requested for use at the Nile Delta Veterinary Care Center, a full-service veterinary clinic serving the Cairo metropolitan area. All pharmaceutical and diagnostic products must comply with the Egyptian Veterinary Drug Administration (EVDA) regulations and carry valid import permits where applicable.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Merck Merial — Cefovecin Sulfate 80 mg/mL Injectable (5 mL vials), for canine and feline bacterial infections</w:t>
            </w:r>
          </w:p>
        </w:tc>
        <w:tc>
          <w:tcPr/>
          <w:p>
            <w:pPr>
              <w:pStyle w:val="Compact"/>
              <w:jc w:val="left"/>
            </w:pPr>
            <w:r>
              <w:t xml:space="preserve">Pharmaceutical</w:t>
            </w:r>
          </w:p>
        </w:tc>
        <w:tc>
          <w:tcPr/>
          <w:p>
            <w:pPr>
              <w:pStyle w:val="Compact"/>
              <w:jc w:val="left"/>
            </w:pPr>
            <w:r>
              <w:t xml:space="preserve">200</w:t>
            </w:r>
          </w:p>
        </w:tc>
        <w:tc>
          <w:tcPr/>
          <w:p>
            <w:pPr>
              <w:pStyle w:val="Compact"/>
              <w:jc w:val="left"/>
            </w:pPr>
            <w:r>
              <w:t xml:space="preserve">vials</w:t>
            </w:r>
          </w:p>
        </w:tc>
        <w:tc>
          <w:tcPr/>
          <w:p>
            <w:pPr>
              <w:pStyle w:val="Compact"/>
              <w:jc w:val="left"/>
            </w:pPr>
            <w:r>
              <w:t xml:space="preserve">485.00</w:t>
            </w:r>
          </w:p>
        </w:tc>
        <w:tc>
          <w:tcPr/>
          <w:p>
            <w:pPr>
              <w:pStyle w:val="Compact"/>
              <w:jc w:val="left"/>
            </w:pPr>
            <w:r>
              <w:t xml:space="preserve">97,000.00</w:t>
            </w:r>
          </w:p>
        </w:tc>
        <w:tc>
          <w:tcPr/>
          <w:p>
            <w:pPr>
              <w:pStyle w:val="Compact"/>
              <w:jc w:val="left"/>
            </w:pPr>
            <w:r>
              <w:t xml:space="preserve">10 days</w:t>
            </w:r>
          </w:p>
        </w:tc>
      </w:tr>
      <w:tr>
        <w:tc>
          <w:tcPr/>
          <w:p>
            <w:pPr>
              <w:pStyle w:val="Compact"/>
              <w:jc w:val="left"/>
            </w:pPr>
            <w:r>
              <w:t xml:space="preserve">2</w:t>
            </w:r>
          </w:p>
        </w:tc>
        <w:tc>
          <w:tcPr/>
          <w:p>
            <w:pPr>
              <w:pStyle w:val="Compact"/>
              <w:jc w:val="left"/>
            </w:pPr>
            <w:r>
              <w:t xml:space="preserve">Boehringer Ingelheim — Vetmedin (Pimobendan) 5 mg &amp; 2.5 mg tablets, 100-tablet bottles for congestive heart failure in dogs</w:t>
            </w:r>
          </w:p>
        </w:tc>
        <w:tc>
          <w:tcPr/>
          <w:p>
            <w:pPr>
              <w:pStyle w:val="Compact"/>
              <w:jc w:val="left"/>
            </w:pPr>
            <w:r>
              <w:t xml:space="preserve">Pharmaceutical</w:t>
            </w:r>
          </w:p>
        </w:tc>
        <w:tc>
          <w:tcPr/>
          <w:p>
            <w:pPr>
              <w:pStyle w:val="Compact"/>
              <w:jc w:val="left"/>
            </w:pPr>
            <w:r>
              <w:t xml:space="preserve">60</w:t>
            </w:r>
          </w:p>
        </w:tc>
        <w:tc>
          <w:tcPr/>
          <w:p>
            <w:pPr>
              <w:pStyle w:val="Compact"/>
              <w:jc w:val="left"/>
            </w:pPr>
            <w:r>
              <w:t xml:space="preserve">bottles</w:t>
            </w:r>
          </w:p>
        </w:tc>
        <w:tc>
          <w:tcPr/>
          <w:p>
            <w:pPr>
              <w:pStyle w:val="Compact"/>
              <w:jc w:val="left"/>
            </w:pPr>
            <w:r>
              <w:t xml:space="preserve">3,250.00</w:t>
            </w:r>
          </w:p>
        </w:tc>
        <w:tc>
          <w:tcPr/>
          <w:p>
            <w:pPr>
              <w:pStyle w:val="Compact"/>
              <w:jc w:val="left"/>
            </w:pPr>
            <w:r>
              <w:t xml:space="preserve">195,000.00</w:t>
            </w:r>
          </w:p>
        </w:tc>
        <w:tc>
          <w:tcPr/>
          <w:p>
            <w:pPr>
              <w:pStyle w:val="Compact"/>
              <w:jc w:val="left"/>
            </w:pPr>
            <w:r>
              <w:t xml:space="preserve">10 days</w:t>
            </w:r>
          </w:p>
        </w:tc>
      </w:tr>
      <w:tr>
        <w:tc>
          <w:tcPr/>
          <w:p>
            <w:pPr>
              <w:pStyle w:val="Compact"/>
              <w:jc w:val="left"/>
            </w:pPr>
            <w:r>
              <w:t xml:space="preserve">3</w:t>
            </w:r>
          </w:p>
        </w:tc>
        <w:tc>
          <w:tcPr/>
          <w:p>
            <w:pPr>
              <w:pStyle w:val="Compact"/>
              <w:jc w:val="left"/>
            </w:pPr>
            <w:r>
              <w:t xml:space="preserve">Idexx — SNAP 4Dx Plus Test Kit (detects Anaplasma, Babesia, Ehrlichia, Lyme disease), 25-test packs</w:t>
            </w:r>
          </w:p>
        </w:tc>
        <w:tc>
          <w:tcPr/>
          <w:p>
            <w:pPr>
              <w:pStyle w:val="Compact"/>
              <w:jc w:val="left"/>
            </w:pPr>
            <w:r>
              <w:t xml:space="preserve">Diagnostic</w:t>
            </w:r>
          </w:p>
        </w:tc>
        <w:tc>
          <w:tcPr/>
          <w:p>
            <w:pPr>
              <w:pStyle w:val="Compact"/>
              <w:jc w:val="left"/>
            </w:pPr>
            <w:r>
              <w:t xml:space="preserve">40</w:t>
            </w:r>
          </w:p>
        </w:tc>
        <w:tc>
          <w:tcPr/>
          <w:p>
            <w:pPr>
              <w:pStyle w:val="Compact"/>
              <w:jc w:val="left"/>
            </w:pPr>
            <w:r>
              <w:t xml:space="preserve">packs</w:t>
            </w:r>
          </w:p>
        </w:tc>
        <w:tc>
          <w:tcPr/>
          <w:p>
            <w:pPr>
              <w:pStyle w:val="Compact"/>
              <w:jc w:val="left"/>
            </w:pPr>
            <w:r>
              <w:t xml:space="preserve">12,800.00</w:t>
            </w:r>
          </w:p>
        </w:tc>
        <w:tc>
          <w:tcPr/>
          <w:p>
            <w:pPr>
              <w:pStyle w:val="Compact"/>
              <w:jc w:val="left"/>
            </w:pPr>
            <w:r>
              <w:t xml:space="preserve">512,000.00</w:t>
            </w:r>
          </w:p>
        </w:tc>
        <w:tc>
          <w:tcPr/>
          <w:p>
            <w:pPr>
              <w:pStyle w:val="Compact"/>
              <w:jc w:val="left"/>
            </w:pPr>
            <w:r>
              <w:t xml:space="preserve">14 days</w:t>
            </w:r>
          </w:p>
        </w:tc>
      </w:tr>
      <w:tr>
        <w:tc>
          <w:tcPr/>
          <w:p>
            <w:pPr>
              <w:pStyle w:val="Compact"/>
              <w:jc w:val="left"/>
            </w:pPr>
            <w:r>
              <w:t xml:space="preserve">4</w:t>
            </w:r>
          </w:p>
        </w:tc>
        <w:tc>
          <w:tcPr/>
          <w:p>
            <w:pPr>
              <w:pStyle w:val="Compact"/>
              <w:jc w:val="left"/>
            </w:pPr>
            <w:r>
              <w:t xml:space="preserve">Minvit — Feline Panleukopenia (FPV) + Feline Calicivirus (FCV) + Feline Herpesvirus (FHV) 3-in-1 vaccine, 10-dose vials</w:t>
            </w:r>
          </w:p>
        </w:tc>
        <w:tc>
          <w:tcPr/>
          <w:p>
            <w:pPr>
              <w:pStyle w:val="Compact"/>
              <w:jc w:val="left"/>
            </w:pPr>
            <w:r>
              <w:t xml:space="preserve">Vaccine</w:t>
            </w:r>
          </w:p>
        </w:tc>
        <w:tc>
          <w:tcPr/>
          <w:p>
            <w:pPr>
              <w:pStyle w:val="Compact"/>
              <w:jc w:val="left"/>
            </w:pPr>
            <w:r>
              <w:t xml:space="preserve">150</w:t>
            </w:r>
          </w:p>
        </w:tc>
        <w:tc>
          <w:tcPr/>
          <w:p>
            <w:pPr>
              <w:pStyle w:val="Compact"/>
              <w:jc w:val="left"/>
            </w:pPr>
            <w:r>
              <w:t xml:space="preserve">vials</w:t>
            </w:r>
          </w:p>
        </w:tc>
        <w:tc>
          <w:tcPr/>
          <w:p>
            <w:pPr>
              <w:pStyle w:val="Compact"/>
              <w:jc w:val="left"/>
            </w:pPr>
            <w:r>
              <w:t xml:space="preserve">1,120.00</w:t>
            </w:r>
          </w:p>
        </w:tc>
        <w:tc>
          <w:tcPr/>
          <w:p>
            <w:pPr>
              <w:pStyle w:val="Compact"/>
              <w:jc w:val="left"/>
            </w:pPr>
            <w:r>
              <w:t xml:space="preserve">168,000.00</w:t>
            </w:r>
          </w:p>
        </w:tc>
        <w:tc>
          <w:tcPr/>
          <w:p>
            <w:pPr>
              <w:pStyle w:val="Compact"/>
              <w:jc w:val="left"/>
            </w:pPr>
            <w:r>
              <w:t xml:space="preserve">10 days</w:t>
            </w:r>
          </w:p>
        </w:tc>
      </w:tr>
      <w:tr>
        <w:tc>
          <w:tcPr/>
          <w:p>
            <w:pPr>
              <w:pStyle w:val="Compact"/>
              <w:jc w:val="left"/>
            </w:pPr>
            <w:r>
              <w:t xml:space="preserve">5</w:t>
            </w:r>
          </w:p>
        </w:tc>
        <w:tc>
          <w:tcPr/>
          <w:p>
            <w:pPr>
              <w:pStyle w:val="Compact"/>
              <w:jc w:val="left"/>
            </w:pPr>
            <w:r>
              <w:t xml:space="preserve">Virbac — Meloxicam 1.5 mg/mL Oral Suspension for Cats, 60 mL bottles</w:t>
            </w:r>
          </w:p>
        </w:tc>
        <w:tc>
          <w:tcPr/>
          <w:p>
            <w:pPr>
              <w:pStyle w:val="Compact"/>
              <w:jc w:val="left"/>
            </w:pPr>
            <w:r>
              <w:t xml:space="preserve">Pharmaceutical</w:t>
            </w:r>
          </w:p>
        </w:tc>
        <w:tc>
          <w:tcPr/>
          <w:p>
            <w:pPr>
              <w:pStyle w:val="Compact"/>
              <w:jc w:val="left"/>
            </w:pPr>
            <w:r>
              <w:t xml:space="preserve">120</w:t>
            </w:r>
          </w:p>
        </w:tc>
        <w:tc>
          <w:tcPr/>
          <w:p>
            <w:pPr>
              <w:pStyle w:val="Compact"/>
              <w:jc w:val="left"/>
            </w:pPr>
            <w:r>
              <w:t xml:space="preserve">bottles</w:t>
            </w:r>
          </w:p>
        </w:tc>
        <w:tc>
          <w:tcPr/>
          <w:p>
            <w:pPr>
              <w:pStyle w:val="Compact"/>
              <w:jc w:val="left"/>
            </w:pPr>
            <w:r>
              <w:t xml:space="preserve">680.00</w:t>
            </w:r>
          </w:p>
        </w:tc>
        <w:tc>
          <w:tcPr/>
          <w:p>
            <w:pPr>
              <w:pStyle w:val="Compact"/>
              <w:jc w:val="left"/>
            </w:pPr>
            <w:r>
              <w:t xml:space="preserve">81,600.00</w:t>
            </w:r>
          </w:p>
        </w:tc>
        <w:tc>
          <w:tcPr/>
          <w:p>
            <w:pPr>
              <w:pStyle w:val="Compact"/>
              <w:jc w:val="left"/>
            </w:pPr>
            <w:r>
              <w:t xml:space="preserve">10 days</w:t>
            </w:r>
          </w:p>
        </w:tc>
      </w:tr>
      <w:tr>
        <w:tc>
          <w:tcPr/>
          <w:p>
            <w:pPr>
              <w:pStyle w:val="Compact"/>
              <w:jc w:val="left"/>
            </w:pPr>
            <w:r>
              <w:t xml:space="preserve">6</w:t>
            </w:r>
          </w:p>
        </w:tc>
        <w:tc>
          <w:tcPr/>
          <w:p>
            <w:pPr>
              <w:pStyle w:val="Compact"/>
              <w:jc w:val="left"/>
            </w:pPr>
            <w:r>
              <w:t xml:space="preserve">GE Healthcare — Portable Digital X-Ray Detector Panel (17×17 cm), compatible with veterinary radiography units</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30 days</w:t>
            </w:r>
          </w:p>
        </w:tc>
      </w:tr>
      <w:tr>
        <w:tc>
          <w:tcPr/>
          <w:p>
            <w:pPr>
              <w:pStyle w:val="Compact"/>
              <w:jc w:val="left"/>
            </w:pPr>
            <w:r>
              <w:t xml:space="preserve">7</w:t>
            </w:r>
          </w:p>
        </w:tc>
        <w:tc>
          <w:tcPr/>
          <w:p>
            <w:pPr>
              <w:pStyle w:val="Compact"/>
              <w:jc w:val="left"/>
            </w:pPr>
            <w:r>
              <w:t xml:space="preserve">Abbott — VetScan VS2 Chemistry Analyzer Reagent Cartridges (Full Panel), 100-test boxes</w:t>
            </w:r>
          </w:p>
        </w:tc>
        <w:tc>
          <w:tcPr/>
          <w:p>
            <w:pPr>
              <w:pStyle w:val="Compact"/>
              <w:jc w:val="left"/>
            </w:pPr>
            <w:r>
              <w:t xml:space="preserve">Diagnostic</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14,500.00</w:t>
            </w:r>
          </w:p>
        </w:tc>
        <w:tc>
          <w:tcPr/>
          <w:p>
            <w:pPr>
              <w:pStyle w:val="Compact"/>
              <w:jc w:val="left"/>
            </w:pPr>
            <w:r>
              <w:t xml:space="preserve">435,000.00</w:t>
            </w:r>
          </w:p>
        </w:tc>
        <w:tc>
          <w:tcPr/>
          <w:p>
            <w:pPr>
              <w:pStyle w:val="Compact"/>
              <w:jc w:val="left"/>
            </w:pPr>
            <w:r>
              <w:t xml:space="preserve">14 days</w:t>
            </w:r>
          </w:p>
        </w:tc>
      </w:tr>
      <w:tr>
        <w:tc>
          <w:tcPr/>
          <w:p>
            <w:pPr>
              <w:pStyle w:val="Compact"/>
              <w:jc w:val="left"/>
            </w:pPr>
            <w:r>
              <w:t xml:space="preserve">8</w:t>
            </w:r>
          </w:p>
        </w:tc>
        <w:tc>
          <w:tcPr/>
          <w:p>
            <w:pPr>
              <w:pStyle w:val="Compact"/>
              <w:jc w:val="left"/>
            </w:pPr>
            <w:r>
              <w:t xml:space="preserve">3M Veterinary — Surgical Suture Kit (Absorbable &amp; Non-Absorbable, assorted sizes), 50-kit cases</w:t>
            </w:r>
          </w:p>
        </w:tc>
        <w:tc>
          <w:tcPr/>
          <w:p>
            <w:pPr>
              <w:pStyle w:val="Compact"/>
              <w:jc w:val="left"/>
            </w:pPr>
            <w:r>
              <w:t xml:space="preserve">Surgical Supply</w:t>
            </w:r>
          </w:p>
        </w:tc>
        <w:tc>
          <w:tcPr/>
          <w:p>
            <w:pPr>
              <w:pStyle w:val="Compact"/>
              <w:jc w:val="left"/>
            </w:pPr>
            <w:r>
              <w:t xml:space="preserve">25</w:t>
            </w:r>
          </w:p>
        </w:tc>
        <w:tc>
          <w:tcPr/>
          <w:p>
            <w:pPr>
              <w:pStyle w:val="Compact"/>
              <w:jc w:val="left"/>
            </w:pPr>
            <w:r>
              <w:t xml:space="preserve">cases</w:t>
            </w:r>
          </w:p>
        </w:tc>
        <w:tc>
          <w:tcPr/>
          <w:p>
            <w:pPr>
              <w:pStyle w:val="Compact"/>
              <w:jc w:val="left"/>
            </w:pPr>
            <w:r>
              <w:t xml:space="preserve">4,200.00</w:t>
            </w:r>
          </w:p>
        </w:tc>
        <w:tc>
          <w:tcPr/>
          <w:p>
            <w:pPr>
              <w:pStyle w:val="Compact"/>
              <w:jc w:val="left"/>
            </w:pPr>
            <w:r>
              <w:t xml:space="preserve">105,000.00</w:t>
            </w:r>
          </w:p>
        </w:tc>
        <w:tc>
          <w:tcPr/>
          <w:p>
            <w:pPr>
              <w:pStyle w:val="Compact"/>
              <w:jc w:val="left"/>
            </w:pPr>
            <w:r>
              <w:t xml:space="preserve">10 days</w:t>
            </w:r>
          </w:p>
        </w:tc>
      </w:tr>
      <w:tr>
        <w:tc>
          <w:tcPr/>
          <w:p>
            <w:pPr>
              <w:pStyle w:val="Compact"/>
              <w:jc w:val="left"/>
            </w:pPr>
            <w:r>
              <w:t xml:space="preserve">9</w:t>
            </w:r>
          </w:p>
        </w:tc>
        <w:tc>
          <w:tcPr/>
          <w:p>
            <w:pPr>
              <w:pStyle w:val="Compact"/>
              <w:jc w:val="left"/>
            </w:pPr>
            <w:r>
              <w:t xml:space="preserve">Elanco — Bravecto Spot-On for Dogs (11.8–22.5 kg), 3-dose boxes</w:t>
            </w:r>
          </w:p>
        </w:tc>
        <w:tc>
          <w:tcPr/>
          <w:p>
            <w:pPr>
              <w:pStyle w:val="Compact"/>
              <w:jc w:val="left"/>
            </w:pPr>
            <w:r>
              <w:t xml:space="preserve">Parasiticide</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1,950.00</w:t>
            </w:r>
          </w:p>
        </w:tc>
        <w:tc>
          <w:tcPr/>
          <w:p>
            <w:pPr>
              <w:pStyle w:val="Compact"/>
              <w:jc w:val="left"/>
            </w:pPr>
            <w:r>
              <w:t xml:space="preserve">390,000.00</w:t>
            </w:r>
          </w:p>
        </w:tc>
        <w:tc>
          <w:tcPr/>
          <w:p>
            <w:pPr>
              <w:pStyle w:val="Compact"/>
              <w:jc w:val="left"/>
            </w:pPr>
            <w:r>
              <w:t xml:space="preserve">10 days</w:t>
            </w:r>
          </w:p>
        </w:tc>
      </w:tr>
      <w:tr>
        <w:tc>
          <w:tcPr/>
          <w:p>
            <w:pPr>
              <w:pStyle w:val="Compact"/>
              <w:jc w:val="left"/>
            </w:pPr>
            <w:r>
              <w:t xml:space="preserve">10</w:t>
            </w:r>
          </w:p>
        </w:tc>
        <w:tc>
          <w:tcPr/>
          <w:p>
            <w:pPr>
              <w:pStyle w:val="Compact"/>
              <w:jc w:val="left"/>
            </w:pPr>
            <w:r>
              <w:t xml:space="preserve">Custom — Nitrile Examination Gloves (S/M/L), 100-glove boxes, veterinary-grade powder-free</w:t>
            </w:r>
          </w:p>
        </w:tc>
        <w:tc>
          <w:tcPr/>
          <w:p>
            <w:pPr>
              <w:pStyle w:val="Compact"/>
              <w:jc w:val="left"/>
            </w:pPr>
            <w:r>
              <w:t xml:space="preserve">Consumable</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92,500.00</w:t>
            </w:r>
          </w:p>
        </w:tc>
        <w:tc>
          <w:tcPr/>
          <w:p>
            <w:pPr>
              <w:pStyle w:val="Compact"/>
              <w:jc w:val="left"/>
            </w:pPr>
            <w:r>
              <w:t xml:space="preserve">7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right"/>
            </w:pPr>
            <w:r>
              <w:t xml:space="preserve">2,446,100.00</w:t>
            </w:r>
          </w:p>
        </w:tc>
      </w:tr>
      <w:tr>
        <w:tc>
          <w:tcPr/>
          <w:p>
            <w:pPr>
              <w:pStyle w:val="Compact"/>
              <w:jc w:val="left"/>
            </w:pPr>
            <w:r>
              <w:t xml:space="preserve">VAT @ 14% (Egyptian Tax Authority)</w:t>
            </w:r>
          </w:p>
        </w:tc>
        <w:tc>
          <w:tcPr/>
          <w:p>
            <w:pPr>
              <w:pStyle w:val="Compact"/>
              <w:jc w:val="right"/>
            </w:pPr>
            <w:r>
              <w:t xml:space="preserve">342,454.00</w:t>
            </w:r>
          </w:p>
        </w:tc>
      </w:tr>
      <w:tr>
        <w:tc>
          <w:tcPr/>
          <w:p>
            <w:pPr>
              <w:pStyle w:val="Compact"/>
              <w:jc w:val="left"/>
            </w:pPr>
            <w:r>
              <w:t xml:space="preserve">Delivery &amp; Handling (Cairo Metro)</w:t>
            </w:r>
          </w:p>
        </w:tc>
        <w:tc>
          <w:tcPr/>
          <w:p>
            <w:pPr>
              <w:pStyle w:val="Compact"/>
              <w:jc w:val="right"/>
            </w:pPr>
            <w:r>
              <w:t xml:space="preserve">12,500.00</w:t>
            </w:r>
          </w:p>
        </w:tc>
      </w:tr>
      <w:tr>
        <w:tc>
          <w:tcPr/>
          <w:p>
            <w:pPr>
              <w:pStyle w:val="Compact"/>
              <w:jc w:val="left"/>
            </w:pPr>
            <w:r>
              <w:t xml:space="preserve">GRAND TOTAL (EGP)</w:t>
            </w:r>
          </w:p>
        </w:tc>
        <w:tc>
          <w:tcPr/>
          <w:p>
            <w:pPr>
              <w:pStyle w:val="Compact"/>
              <w:jc w:val="right"/>
            </w:pPr>
            <w:r>
              <w:t xml:space="preserve">2,801,054.00</w:t>
            </w:r>
          </w:p>
        </w:tc>
      </w:tr>
    </w:tbl>
    <w:bookmarkStart w:id="23" w:name="terms-conditions-of-purchase"/>
    <w:p>
      <w:pPr>
        <w:pStyle w:val="Heading3"/>
      </w:pPr>
      <w:r>
        <w:t xml:space="preserve">Terms &amp; Conditions of Purchase</w:t>
      </w:r>
    </w:p>
    <w:p>
      <w:pPr>
        <w:numPr>
          <w:ilvl w:val="0"/>
          <w:numId w:val="1001"/>
        </w:numPr>
        <w:pStyle w:val="Compact"/>
      </w:pPr>
      <w:r>
        <w:rPr>
          <w:bCs/>
          <w:b/>
        </w:rPr>
        <w:t xml:space="preserve">Payment Terms:</w:t>
      </w:r>
      <w:r>
        <w:t xml:space="preserve"> </w:t>
      </w:r>
      <w:r>
        <w:t xml:space="preserve">50% advance payment via bank transfer to the supplier's account at Commercial International Bank (CIB), Cairo branch, within 5 business days of PO acceptance. The remaining 50% shall be settled within 30 days of confirmed delivery and inspection at the veterinary clinic premises in Dokki, Cairo.</w:t>
      </w:r>
    </w:p>
    <w:p>
      <w:pPr>
        <w:numPr>
          <w:ilvl w:val="0"/>
          <w:numId w:val="1001"/>
        </w:numPr>
        <w:pStyle w:val="Compact"/>
      </w:pPr>
      <w:r>
        <w:rPr>
          <w:bCs/>
          <w:b/>
        </w:rPr>
        <w:t xml:space="preserve">Delivery:</w:t>
      </w:r>
      <w:r>
        <w:t xml:space="preserve"> </w:t>
      </w:r>
      <w:r>
        <w:t xml:space="preserve">All items must be delivered to the Nile Delta Veterinary Care Center, 42 El-Mohandessin Street, Dokki, Cairo, Egypt. The supplier is responsible for cold-chain maintenance (2–8°C) for all vaccines and temperature-sensitive pharmaceuticals during transit within Egypt.</w:t>
      </w:r>
    </w:p>
    <w:p>
      <w:pPr>
        <w:numPr>
          <w:ilvl w:val="0"/>
          <w:numId w:val="1001"/>
        </w:numPr>
        <w:pStyle w:val="Compact"/>
      </w:pPr>
      <w:r>
        <w:rPr>
          <w:bCs/>
          <w:b/>
        </w:rPr>
        <w:t xml:space="preserve">Quality &amp; Compliance:</w:t>
      </w:r>
      <w:r>
        <w:t xml:space="preserve"> </w:t>
      </w:r>
      <w:r>
        <w:t xml:space="preserve">All veterinary pharmaceuticals, vaccines, and diagnostic kits must bear valid Egyptian Veterinary Drug Administration (EVDA) registration numbers and import permits. The supplier warrants that no expired or substandard products will be included in this shipment. The lead veterinarian, Dr. Amira Hassan El-Sayed, reserves the right to reject any lot that fails visual or batch-number verification upon arrival.</w:t>
      </w:r>
    </w:p>
    <w:p>
      <w:pPr>
        <w:numPr>
          <w:ilvl w:val="0"/>
          <w:numId w:val="1001"/>
        </w:numPr>
        <w:pStyle w:val="Compact"/>
      </w:pPr>
      <w:r>
        <w:rPr>
          <w:bCs/>
          <w:b/>
        </w:rPr>
        <w:t xml:space="preserve">Warranty:</w:t>
      </w:r>
      <w:r>
        <w:t xml:space="preserve"> </w:t>
      </w:r>
      <w:r>
        <w:t xml:space="preserve">Diagnostic equipment (Item 6) carries a minimum 24-month manufacturer warranty covering parts and labor, serviced by an authorized GE Healthcare technician in Cairo. Consumables and pharmaceuticals are non-returnable once opened but must be within 12 months of their expiry date at the time of delivery.</w:t>
      </w:r>
    </w:p>
    <w:p>
      <w:pPr>
        <w:numPr>
          <w:ilvl w:val="0"/>
          <w:numId w:val="1001"/>
        </w:numPr>
        <w:pStyle w:val="Compact"/>
      </w:pPr>
      <w:r>
        <w:rPr>
          <w:bCs/>
          <w:b/>
        </w:rPr>
        <w:t xml:space="preserve">Penalties for Late Delivery:</w:t>
      </w:r>
      <w:r>
        <w:t xml:space="preserve"> </w:t>
      </w:r>
      <w:r>
        <w:t xml:space="preserve">A penalty of 0.5% of the affected line-item value per calendar day of delay shall be deducted from the final invoice, capped at 10% of that line item. Delays exceeding 15 days beyond the stated delivery window entitle the veterinary clinic to cancel the affected line items without penalty.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including the Egyptian Commercial Code and the Egyptian Veterinary Practice Act. Any disputes shall be resolved through the competent commercial courts in Cairo.</w:t>
      </w:r>
    </w:p>
    <w:p>
      <w:pPr>
        <w:numPr>
          <w:ilvl w:val="0"/>
          <w:numId w:val="1001"/>
        </w:numPr>
        <w:pStyle w:val="Compact"/>
      </w:pPr>
      <w:r>
        <w:rPr>
          <w:bCs/>
          <w:b/>
        </w:rPr>
        <w:t xml:space="preserve">Confidentiality:</w:t>
      </w:r>
      <w:r>
        <w:t xml:space="preserve"> </w:t>
      </w:r>
      <w:r>
        <w:t xml:space="preserve">Both parties agree to maintain confidentiality regarding pricing, patient-related diagnostic data, and proprietary veterinary treatment protocols referenced in any ancillary documentation attached to this order.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 import restrictions, port closures at Alexandria or Sokhna, or public health emergencies declared by the Egyptian Ministry of Health.</w:t>
      </w:r>
    </w:p>
    <w:bookmarkEnd w:id="23"/>
    <w:p>
      <w:pPr>
        <w:pStyle w:val="FirstParagraph"/>
      </w:pPr>
      <w:r>
        <w:t xml:space="preserve">Authorized by (Buyer / Veterinarian)</w:t>
      </w:r>
    </w:p>
    <w:p>
      <w:pPr>
        <w:pStyle w:val="BodyText"/>
      </w:pPr>
      <w:r>
        <w:rPr>
          <w:bCs/>
          <w:b/>
        </w:rPr>
        <w:t xml:space="preserve">Dr. Amira Hassan El-Sayed, DVM, PhD</w:t>
      </w:r>
    </w:p>
    <w:p>
      <w:pPr>
        <w:pStyle w:val="BodyText"/>
      </w:pPr>
      <w:r>
        <w:t xml:space="preserve">Lead Veterinarian &amp; Clinic Director</w:t>
      </w:r>
    </w:p>
    <w:p>
      <w:pPr>
        <w:pStyle w:val="BodyText"/>
      </w:pPr>
      <w:r>
        <w:t xml:space="preserve">Nile Delta Veterinary Care Center, Cairo</w:t>
      </w:r>
    </w:p>
    <w:p>
      <w:pPr>
        <w:pStyle w:val="BodyText"/>
      </w:pPr>
      <w:r>
        <w:t xml:space="preserve">Date: _______________    Signature: _______________</w:t>
      </w:r>
    </w:p>
    <w:p>
      <w:pPr>
        <w:pStyle w:val="BodyText"/>
      </w:pPr>
      <w:r>
        <w:t xml:space="preserve">Accepted by (Supplier)</w:t>
      </w:r>
    </w:p>
    <w:p>
      <w:pPr>
        <w:pStyle w:val="BodyText"/>
      </w:pPr>
      <w:r>
        <w:rPr>
          <w:bCs/>
          <w:b/>
        </w:rPr>
        <w:t xml:space="preserve">Mr. Karim Fathy</w:t>
      </w:r>
    </w:p>
    <w:p>
      <w:pPr>
        <w:pStyle w:val="BodyText"/>
      </w:pPr>
      <w:r>
        <w:t xml:space="preserve">Sales Director</w:t>
      </w:r>
    </w:p>
    <w:p>
      <w:pPr>
        <w:pStyle w:val="BodyText"/>
      </w:pPr>
      <w:r>
        <w:t xml:space="preserve">MedVet Egypt Trading &amp; Distribution Co.</w:t>
      </w:r>
    </w:p>
    <w:p>
      <w:pPr>
        <w:pStyle w:val="BodyText"/>
      </w:pPr>
      <w:r>
        <w:t xml:space="preserve">Date: _______________    Signature: _______________</w:t>
      </w:r>
    </w:p>
    <w:p>
      <w:pPr>
        <w:pStyle w:val="BodyText"/>
      </w:pPr>
      <w:r>
        <w:t xml:space="preserve">This Purchase Order (PO-EGY-CAI-2025-04782) is issued by Nile Delta Veterinary Care Center, a licensed veterinary practice registered with the Cairo Governorate Veterinary Authority. All transactions are subject to Egyptian fiscal regulations. For queries, contact the procurement office at procurement@niledeltavet.eg or +20 2 3336 8891, Monday through Friday, 9:00 AM – 5:00 PM (Egypt Standard Time, UTC+2).</w:t>
      </w:r>
    </w:p>
    <w:p>
      <w:pPr>
        <w:pStyle w:val="BodyText"/>
      </w:pPr>
      <w:r>
        <w:t xml:space="preserve">© 2025 Nile Delta Veterinary Care Center — Cairo, Egypt.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Cairo, Egypt</dc:title>
  <dc:creator/>
  <dc:language>en</dc:language>
  <cp:keywords/>
  <dcterms:created xsi:type="dcterms:W3CDTF">2026-10-10T03:42:28Z</dcterms:created>
  <dcterms:modified xsi:type="dcterms:W3CDTF">2026-10-10T03:42:28Z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