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Veterinary</w:t>
      </w:r>
      <w:r>
        <w:t xml:space="preserve"> </w:t>
      </w:r>
      <w:r>
        <w:t xml:space="preserve">Supplies</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purchase-order"/>
    <w:p>
      <w:pPr>
        <w:pStyle w:val="Heading1"/>
      </w:pPr>
      <w:r>
        <w:t xml:space="preserve">PURCHASE ORDER</w:t>
      </w:r>
    </w:p>
    <w:p>
      <w:pPr>
        <w:pStyle w:val="FirstParagraph"/>
      </w:pPr>
      <w:r>
        <w:rPr>
          <w:bCs/>
          <w:b/>
        </w:rPr>
        <w:t xml:space="preserve">Al Noor Veterinary Clinic &amp; Animal Hospital</w:t>
      </w:r>
    </w:p>
    <w:p>
      <w:pPr>
        <w:pStyle w:val="BodyText"/>
      </w:pPr>
      <w:r>
        <w:t xml:space="preserve">P.O. Box 4521, Khalifa Street, Al Markhaya, Abu Dhabi, United Arab Emirates</w:t>
      </w:r>
    </w:p>
    <w:p>
      <w:pPr>
        <w:pStyle w:val="BodyText"/>
      </w:pPr>
      <w:r>
        <w:t xml:space="preserve">Tel: +971-2-445-6789 | Email: procurement@alnoorvet.ae | Trade License No: AD-2019-78453</w:t>
      </w:r>
    </w:p>
    <w:bookmarkEnd w:id="20"/>
    <w:p>
      <w:pPr>
        <w:pStyle w:val="BodyText"/>
      </w:pPr>
      <w:r>
        <w:rPr>
          <w:bCs/>
          <w:b/>
        </w:rPr>
        <w:t xml:space="preserve">Purchase Order No:</w:t>
      </w:r>
      <w:r>
        <w:t xml:space="preserve"> </w:t>
      </w:r>
      <w:r>
        <w:t xml:space="preserve">PO-AD-2025-0347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Payment Terms:</w:t>
      </w:r>
      <w:r>
        <w:t xml:space="preserve"> </w:t>
      </w:r>
      <w:r>
        <w:t xml:space="preserve">Net 30 Days</w:t>
      </w:r>
    </w:p>
    <w:p>
      <w:pPr>
        <w:pStyle w:val="BodyText"/>
      </w:pPr>
      <w:r>
        <w:t xml:space="preserve">1. Buyer Information (Veterinarian / Receiving Party)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Entity Name:</w:t>
            </w:r>
          </w:p>
        </w:tc>
        <w:tc>
          <w:tcPr/>
          <w:p>
            <w:pPr>
              <w:pStyle w:val="Compact"/>
              <w:jc w:val="left"/>
            </w:pPr>
            <w:r>
              <w:t xml:space="preserve">Al Noor Veterinary Clinic &amp; Animal Hospital LLC</w:t>
            </w:r>
          </w:p>
        </w:tc>
      </w:tr>
      <w:tr>
        <w:tc>
          <w:tcPr/>
          <w:p>
            <w:pPr>
              <w:pStyle w:val="Compact"/>
              <w:jc w:val="left"/>
            </w:pPr>
            <w:r>
              <w:rPr>
                <w:bCs/>
                <w:b/>
              </w:rPr>
              <w:t xml:space="preserve">Authorized Veterinarian:</w:t>
            </w:r>
          </w:p>
        </w:tc>
        <w:tc>
          <w:tcPr/>
          <w:p>
            <w:pPr>
              <w:pStyle w:val="Compact"/>
              <w:jc w:val="left"/>
            </w:pPr>
            <w:r>
              <w:t xml:space="preserve">Dr. Fatima Al Mansoori, DVM, PhD – Chief Veterinarian &amp; Medical Director</w:t>
            </w:r>
          </w:p>
        </w:tc>
      </w:tr>
      <w:tr>
        <w:tc>
          <w:tcPr/>
          <w:p>
            <w:pPr>
              <w:pStyle w:val="Compact"/>
              <w:jc w:val="left"/>
            </w:pPr>
            <w:r>
              <w:rPr>
                <w:bCs/>
                <w:b/>
              </w:rPr>
              <w:t xml:space="preserve">Address:</w:t>
            </w:r>
          </w:p>
        </w:tc>
        <w:tc>
          <w:tcPr/>
          <w:p>
            <w:pPr>
              <w:pStyle w:val="Compact"/>
              <w:jc w:val="left"/>
            </w:pPr>
            <w:r>
              <w:t xml:space="preserve">P.O. Box 4521, Khalifa Street, Al Markhaya, Abu Dhabi, United Arab Emirates</w:t>
            </w:r>
          </w:p>
        </w:tc>
      </w:tr>
      <w:tr>
        <w:tc>
          <w:tcPr/>
          <w:p>
            <w:pPr>
              <w:pStyle w:val="Compact"/>
              <w:jc w:val="left"/>
            </w:pPr>
            <w:r>
              <w:rPr>
                <w:bCs/>
                <w:b/>
              </w:rPr>
              <w:t xml:space="preserve">TRN (Tax Registration No):</w:t>
            </w:r>
          </w:p>
        </w:tc>
        <w:tc>
          <w:tcPr/>
          <w:p>
            <w:pPr>
              <w:pStyle w:val="Compact"/>
              <w:jc w:val="left"/>
            </w:pPr>
            <w:r>
              <w:t xml:space="preserve">100456789000003</w:t>
            </w:r>
          </w:p>
        </w:tc>
      </w:tr>
      <w:tr>
        <w:tc>
          <w:tcPr/>
          <w:p>
            <w:pPr>
              <w:pStyle w:val="Compact"/>
              <w:jc w:val="left"/>
            </w:pPr>
            <w:r>
              <w:rPr>
                <w:bCs/>
                <w:b/>
              </w:rPr>
              <w:t xml:space="preserve">Contact:</w:t>
            </w:r>
          </w:p>
        </w:tc>
        <w:tc>
          <w:tcPr/>
          <w:p>
            <w:pPr>
              <w:pStyle w:val="Compact"/>
              <w:jc w:val="left"/>
            </w:pPr>
            <w:r>
              <w:t xml:space="preserve">procurement@alnoorvet.ae | +971-2-445-6789</w:t>
            </w:r>
          </w:p>
        </w:tc>
      </w:tr>
    </w:tbl>
    <w:p>
      <w:pPr>
        <w:pStyle w:val="BodyText"/>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Gulf Pet Pharma &amp; Veterinary Supplies FZE</w:t>
            </w:r>
          </w:p>
        </w:tc>
      </w:tr>
      <w:tr>
        <w:tc>
          <w:tcPr/>
          <w:p>
            <w:pPr>
              <w:pStyle w:val="Compact"/>
              <w:jc w:val="left"/>
            </w:pPr>
            <w:r>
              <w:rPr>
                <w:bCs/>
                <w:b/>
              </w:rPr>
              <w:t xml:space="preserve">Address:</w:t>
            </w:r>
          </w:p>
        </w:tc>
        <w:tc>
          <w:tcPr/>
          <w:p>
            <w:pPr>
              <w:pStyle w:val="Compact"/>
              <w:jc w:val="left"/>
            </w:pPr>
            <w:r>
              <w:t xml:space="preserve">Plot 112, Al Taweel Industrial Area, Abu Dhabi, United Arab Emirates</w:t>
            </w:r>
          </w:p>
        </w:tc>
      </w:tr>
      <w:tr>
        <w:tc>
          <w:tcPr/>
          <w:p>
            <w:pPr>
              <w:pStyle w:val="Compact"/>
              <w:jc w:val="left"/>
            </w:pPr>
            <w:r>
              <w:rPr>
                <w:bCs/>
                <w:b/>
              </w:rPr>
              <w:t xml:space="preserve">TRN:</w:t>
            </w:r>
          </w:p>
        </w:tc>
        <w:tc>
          <w:tcPr/>
          <w:p>
            <w:pPr>
              <w:pStyle w:val="Compact"/>
              <w:jc w:val="left"/>
            </w:pPr>
            <w:r>
              <w:t xml:space="preserve">100987654000005</w:t>
            </w:r>
          </w:p>
        </w:tc>
      </w:tr>
      <w:tr>
        <w:tc>
          <w:tcPr/>
          <w:p>
            <w:pPr>
              <w:pStyle w:val="Compact"/>
              <w:jc w:val="left"/>
            </w:pPr>
            <w:r>
              <w:rPr>
                <w:bCs/>
                <w:b/>
              </w:rPr>
              <w:t xml:space="preserve">Contact:</w:t>
            </w:r>
          </w:p>
        </w:tc>
        <w:tc>
          <w:tcPr/>
          <w:p>
            <w:pPr>
              <w:pStyle w:val="Compact"/>
              <w:jc w:val="left"/>
            </w:pPr>
            <w:r>
              <w:t xml:space="preserve">sales@gulfpetpharma.ae | +971-2-667-1234</w:t>
            </w:r>
          </w:p>
        </w:tc>
      </w:tr>
    </w:tbl>
    <w:p>
      <w:pPr>
        <w:pStyle w:val="BodyText"/>
      </w:pPr>
      <w:r>
        <w:t xml:space="preserve">3. Purchase Order Line Items – Veterinary Products &amp; Equipment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1</w:t>
            </w:r>
          </w:p>
        </w:tc>
        <w:tc>
          <w:tcPr/>
          <w:p>
            <w:pPr>
              <w:pStyle w:val="Compact"/>
              <w:jc w:val="left"/>
            </w:pPr>
            <w:r>
              <w:t xml:space="preserve">Insulin (Vetsulin) 100 IU/mL – 100 mL vials, for diabetic veterinary patients</w:t>
            </w:r>
          </w:p>
        </w:tc>
        <w:tc>
          <w:tcPr/>
          <w:p>
            <w:pPr>
              <w:pStyle w:val="Compact"/>
              <w:jc w:val="left"/>
            </w:pPr>
            <w:r>
              <w:t xml:space="preserve">GP-INS-100</w:t>
            </w:r>
          </w:p>
        </w:tc>
        <w:tc>
          <w:tcPr/>
          <w:p>
            <w:pPr>
              <w:pStyle w:val="Compact"/>
              <w:jc w:val="left"/>
            </w:pPr>
            <w:r>
              <w:t xml:space="preserve">48</w:t>
            </w:r>
          </w:p>
        </w:tc>
        <w:tc>
          <w:tcPr/>
          <w:p>
            <w:pPr>
              <w:pStyle w:val="Compact"/>
              <w:jc w:val="left"/>
            </w:pPr>
            <w:r>
              <w:t xml:space="preserve">vials</w:t>
            </w:r>
          </w:p>
        </w:tc>
        <w:tc>
          <w:tcPr/>
          <w:p>
            <w:pPr>
              <w:pStyle w:val="Compact"/>
              <w:jc w:val="left"/>
            </w:pPr>
            <w:r>
              <w:t xml:space="preserve">285.00</w:t>
            </w:r>
          </w:p>
        </w:tc>
        <w:tc>
          <w:tcPr/>
          <w:p>
            <w:pPr>
              <w:pStyle w:val="Compact"/>
              <w:jc w:val="left"/>
            </w:pPr>
            <w:r>
              <w:t xml:space="preserve">13,680.00</w:t>
            </w:r>
          </w:p>
        </w:tc>
      </w:tr>
      <w:tr>
        <w:tc>
          <w:tcPr/>
          <w:p>
            <w:pPr>
              <w:pStyle w:val="Compact"/>
              <w:jc w:val="left"/>
            </w:pPr>
            <w:r>
              <w:t xml:space="preserve">2</w:t>
            </w:r>
          </w:p>
        </w:tc>
        <w:tc>
          <w:tcPr/>
          <w:p>
            <w:pPr>
              <w:pStyle w:val="Compact"/>
              <w:jc w:val="left"/>
            </w:pPr>
            <w:r>
              <w:t xml:space="preserve">Carprofen 75 mg tablets – anti-inflammatory for canine and feline patients</w:t>
            </w:r>
          </w:p>
        </w:tc>
        <w:tc>
          <w:tcPr/>
          <w:p>
            <w:pPr>
              <w:pStyle w:val="Compact"/>
              <w:jc w:val="left"/>
            </w:pPr>
            <w:r>
              <w:t xml:space="preserve">GP-CAR-75</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142.50</w:t>
            </w:r>
          </w:p>
        </w:tc>
        <w:tc>
          <w:tcPr/>
          <w:p>
            <w:pPr>
              <w:pStyle w:val="Compact"/>
              <w:jc w:val="left"/>
            </w:pPr>
            <w:r>
              <w:t xml:space="preserve">28,500.00</w:t>
            </w:r>
          </w:p>
        </w:tc>
      </w:tr>
      <w:tr>
        <w:tc>
          <w:tcPr/>
          <w:p>
            <w:pPr>
              <w:pStyle w:val="Compact"/>
              <w:jc w:val="left"/>
            </w:pPr>
            <w:r>
              <w:t xml:space="preserve">3</w:t>
            </w:r>
          </w:p>
        </w:tc>
        <w:tc>
          <w:tcPr/>
          <w:p>
            <w:pPr>
              <w:pStyle w:val="Compact"/>
              <w:jc w:val="left"/>
            </w:pPr>
            <w:r>
              <w:t xml:space="preserve">Digital Veterinary Otoscope with 5.5-inch LED display</w:t>
            </w:r>
          </w:p>
        </w:tc>
        <w:tc>
          <w:tcPr/>
          <w:p>
            <w:pPr>
              <w:pStyle w:val="Compact"/>
              <w:jc w:val="left"/>
            </w:pPr>
            <w:r>
              <w:t xml:space="preserve">GP-OTO-55</w:t>
            </w:r>
          </w:p>
        </w:tc>
        <w:tc>
          <w:tcPr/>
          <w:p>
            <w:pPr>
              <w:pStyle w:val="Compact"/>
              <w:jc w:val="left"/>
            </w:pPr>
            <w:r>
              <w:t xml:space="preserve">2</w:t>
            </w:r>
          </w:p>
        </w:tc>
        <w:tc>
          <w:tcPr/>
          <w:p>
            <w:pPr>
              <w:pStyle w:val="Compact"/>
              <w:jc w:val="left"/>
            </w:pPr>
            <w:r>
              <w:t xml:space="preserve">units</w:t>
            </w:r>
          </w:p>
        </w:tc>
        <w:tc>
          <w:tcPr/>
          <w:p>
            <w:pPr>
              <w:pStyle w:val="Compact"/>
              <w:jc w:val="left"/>
            </w:pPr>
            <w:r>
              <w:t xml:space="preserve">4,850.00</w:t>
            </w:r>
          </w:p>
        </w:tc>
        <w:tc>
          <w:tcPr/>
          <w:p>
            <w:pPr>
              <w:pStyle w:val="Compact"/>
              <w:jc w:val="left"/>
            </w:pPr>
            <w:r>
              <w:t xml:space="preserve">9,700.00</w:t>
            </w:r>
          </w:p>
        </w:tc>
      </w:tr>
      <w:tr>
        <w:tc>
          <w:tcPr/>
          <w:p>
            <w:pPr>
              <w:pStyle w:val="Compact"/>
              <w:jc w:val="left"/>
            </w:pPr>
            <w:r>
              <w:t xml:space="preserve">4</w:t>
            </w:r>
          </w:p>
        </w:tc>
        <w:tc>
          <w:tcPr/>
          <w:p>
            <w:pPr>
              <w:pStyle w:val="Compact"/>
              <w:jc w:val="left"/>
            </w:pPr>
            <w:r>
              <w:t xml:space="preserve">Portable Veterinary Ultrasound Machine, 12 MHz linear probe</w:t>
            </w:r>
          </w:p>
        </w:tc>
        <w:tc>
          <w:tcPr/>
          <w:p>
            <w:pPr>
              <w:pStyle w:val="Compact"/>
              <w:jc w:val="left"/>
            </w:pPr>
            <w:r>
              <w:t xml:space="preserve">GP-ULS-12</w:t>
            </w:r>
          </w:p>
        </w:tc>
        <w:tc>
          <w:tcPr/>
          <w:p>
            <w:pPr>
              <w:pStyle w:val="Compact"/>
              <w:jc w:val="left"/>
            </w:pPr>
            <w:r>
              <w:t xml:space="preserve">1</w:t>
            </w:r>
          </w:p>
        </w:tc>
        <w:tc>
          <w:tcPr/>
          <w:p>
            <w:pPr>
              <w:pStyle w:val="Compact"/>
              <w:jc w:val="left"/>
            </w:pPr>
            <w:r>
              <w:t xml:space="preserve">unit</w:t>
            </w:r>
          </w:p>
        </w:tc>
        <w:tc>
          <w:tcPr/>
          <w:p>
            <w:pPr>
              <w:pStyle w:val="Compact"/>
              <w:jc w:val="left"/>
            </w:pPr>
            <w:r>
              <w:t xml:space="preserve">38,500.00</w:t>
            </w:r>
          </w:p>
        </w:tc>
        <w:tc>
          <w:tcPr/>
          <w:p>
            <w:pPr>
              <w:pStyle w:val="Compact"/>
              <w:jc w:val="left"/>
            </w:pPr>
            <w:r>
              <w:t xml:space="preserve">38,500.00</w:t>
            </w:r>
          </w:p>
        </w:tc>
      </w:tr>
      <w:tr>
        <w:tc>
          <w:tcPr/>
          <w:p>
            <w:pPr>
              <w:pStyle w:val="Compact"/>
              <w:jc w:val="left"/>
            </w:pPr>
            <w:r>
              <w:t xml:space="preserve">5</w:t>
            </w:r>
          </w:p>
        </w:tc>
        <w:tc>
          <w:tcPr/>
          <w:p>
            <w:pPr>
              <w:pStyle w:val="Compact"/>
              <w:jc w:val="left"/>
            </w:pPr>
            <w:r>
              <w:t xml:space="preserve">Canine &amp; Feline Complete Blood Count (CBC) Reagent Kit – 200 tests</w:t>
            </w:r>
          </w:p>
        </w:tc>
        <w:tc>
          <w:tcPr/>
          <w:p>
            <w:pPr>
              <w:pStyle w:val="Compact"/>
              <w:jc w:val="left"/>
            </w:pPr>
            <w:r>
              <w:t xml:space="preserve">GP-CBC-200</w:t>
            </w:r>
          </w:p>
        </w:tc>
        <w:tc>
          <w:tcPr/>
          <w:p>
            <w:pPr>
              <w:pStyle w:val="Compact"/>
              <w:jc w:val="left"/>
            </w:pPr>
            <w:r>
              <w:t xml:space="preserve">10</w:t>
            </w:r>
          </w:p>
        </w:tc>
        <w:tc>
          <w:tcPr/>
          <w:p>
            <w:pPr>
              <w:pStyle w:val="Compact"/>
              <w:jc w:val="left"/>
            </w:pPr>
            <w:r>
              <w:t xml:space="preserve">kits</w:t>
            </w:r>
          </w:p>
        </w:tc>
        <w:tc>
          <w:tcPr/>
          <w:p>
            <w:pPr>
              <w:pStyle w:val="Compact"/>
              <w:jc w:val="left"/>
            </w:pPr>
            <w:r>
              <w:t xml:space="preserve">1,250.00</w:t>
            </w:r>
          </w:p>
        </w:tc>
        <w:tc>
          <w:tcPr/>
          <w:p>
            <w:pPr>
              <w:pStyle w:val="Compact"/>
              <w:jc w:val="left"/>
            </w:pPr>
            <w:r>
              <w:t xml:space="preserve">12,500.00</w:t>
            </w:r>
          </w:p>
        </w:tc>
      </w:tr>
      <w:tr>
        <w:tc>
          <w:tcPr/>
          <w:p>
            <w:pPr>
              <w:pStyle w:val="Compact"/>
              <w:jc w:val="left"/>
            </w:pPr>
            <w:r>
              <w:t xml:space="preserve">6</w:t>
            </w:r>
          </w:p>
        </w:tc>
        <w:tc>
          <w:tcPr/>
          <w:p>
            <w:pPr>
              <w:pStyle w:val="Compact"/>
              <w:jc w:val="left"/>
            </w:pPr>
            <w:r>
              <w:t xml:space="preserve">Sterile Surgical Suture Kit (Absorbable &amp; Non-absorbable), 50-piece</w:t>
            </w:r>
          </w:p>
        </w:tc>
        <w:tc>
          <w:tcPr/>
          <w:p>
            <w:pPr>
              <w:pStyle w:val="Compact"/>
              <w:jc w:val="left"/>
            </w:pPr>
            <w:r>
              <w:t xml:space="preserve">GP-SUT-50</w:t>
            </w:r>
          </w:p>
        </w:tc>
        <w:tc>
          <w:tcPr/>
          <w:p>
            <w:pPr>
              <w:pStyle w:val="Compact"/>
              <w:jc w:val="left"/>
            </w:pPr>
            <w:r>
              <w:t xml:space="preserve">30</w:t>
            </w:r>
          </w:p>
        </w:tc>
        <w:tc>
          <w:tcPr/>
          <w:p>
            <w:pPr>
              <w:pStyle w:val="Compact"/>
              <w:jc w:val="left"/>
            </w:pPr>
            <w:r>
              <w:t xml:space="preserve">kits</w:t>
            </w:r>
          </w:p>
        </w:tc>
        <w:tc>
          <w:tcPr/>
          <w:p>
            <w:pPr>
              <w:pStyle w:val="Compact"/>
              <w:jc w:val="left"/>
            </w:pPr>
            <w:r>
              <w:t xml:space="preserve">320.00</w:t>
            </w:r>
          </w:p>
        </w:tc>
        <w:tc>
          <w:tcPr/>
          <w:p>
            <w:pPr>
              <w:pStyle w:val="Compact"/>
              <w:jc w:val="left"/>
            </w:pPr>
            <w:r>
              <w:t xml:space="preserve">9,600.00</w:t>
            </w:r>
          </w:p>
        </w:tc>
      </w:tr>
      <w:tr>
        <w:tc>
          <w:tcPr/>
          <w:p>
            <w:pPr>
              <w:pStyle w:val="Compact"/>
              <w:jc w:val="left"/>
            </w:pPr>
            <w:r>
              <w:t xml:space="preserve">7</w:t>
            </w:r>
          </w:p>
        </w:tc>
        <w:tc>
          <w:tcPr/>
          <w:p>
            <w:pPr>
              <w:pStyle w:val="Compact"/>
              <w:jc w:val="left"/>
            </w:pPr>
            <w:r>
              <w:t xml:space="preserve">Veterinary Anesthesia Machine with Vaporizer (Isoflurane/Sevoflurane)</w:t>
            </w:r>
          </w:p>
        </w:tc>
        <w:tc>
          <w:tcPr/>
          <w:p>
            <w:pPr>
              <w:pStyle w:val="Compact"/>
              <w:jc w:val="left"/>
            </w:pPr>
            <w:r>
              <w:t xml:space="preserve">GP-ANM-200</w:t>
            </w:r>
          </w:p>
        </w:tc>
        <w:tc>
          <w:tcPr/>
          <w:p>
            <w:pPr>
              <w:pStyle w:val="Compact"/>
              <w:jc w:val="left"/>
            </w:pPr>
            <w:r>
              <w:t xml:space="preserve">1</w:t>
            </w:r>
          </w:p>
        </w:tc>
        <w:tc>
          <w:tcPr/>
          <w:p>
            <w:pPr>
              <w:pStyle w:val="Compact"/>
              <w:jc w:val="left"/>
            </w:pPr>
            <w:r>
              <w:t xml:space="preserve">unit</w:t>
            </w:r>
          </w:p>
        </w:tc>
        <w:tc>
          <w:tcPr/>
          <w:p>
            <w:pPr>
              <w:pStyle w:val="Compact"/>
              <w:jc w:val="left"/>
            </w:pPr>
            <w:r>
              <w:t xml:space="preserve">22,400.00</w:t>
            </w:r>
          </w:p>
        </w:tc>
        <w:tc>
          <w:tcPr/>
          <w:p>
            <w:pPr>
              <w:pStyle w:val="Compact"/>
              <w:jc w:val="left"/>
            </w:pPr>
            <w:r>
              <w:t xml:space="preserve">22,400.00</w:t>
            </w:r>
          </w:p>
        </w:tc>
      </w:tr>
      <w:tr>
        <w:tc>
          <w:tcPr/>
          <w:p>
            <w:pPr>
              <w:pStyle w:val="Compact"/>
              <w:jc w:val="left"/>
            </w:pPr>
            <w:r>
              <w:t xml:space="preserve">8</w:t>
            </w:r>
          </w:p>
        </w:tc>
        <w:tc>
          <w:tcPr/>
          <w:p>
            <w:pPr>
              <w:pStyle w:val="Compact"/>
              <w:jc w:val="left"/>
            </w:pPr>
            <w:r>
              <w:t xml:space="preserve">Rabies Vaccine (Inactivated) – 10-dose vials, approved by Abu Dhabi Agriculture &amp; Food Safety Authority</w:t>
            </w:r>
          </w:p>
        </w:tc>
        <w:tc>
          <w:tcPr/>
          <w:p>
            <w:pPr>
              <w:pStyle w:val="Compact"/>
              <w:jc w:val="left"/>
            </w:pPr>
            <w:r>
              <w:t xml:space="preserve">GP-RAB-10</w:t>
            </w:r>
          </w:p>
        </w:tc>
        <w:tc>
          <w:tcPr/>
          <w:p>
            <w:pPr>
              <w:pStyle w:val="Compact"/>
              <w:jc w:val="left"/>
            </w:pPr>
            <w:r>
              <w:t xml:space="preserve">60</w:t>
            </w:r>
          </w:p>
        </w:tc>
        <w:tc>
          <w:tcPr/>
          <w:p>
            <w:pPr>
              <w:pStyle w:val="Compact"/>
              <w:jc w:val="left"/>
            </w:pPr>
            <w:r>
              <w:t xml:space="preserve">vials</w:t>
            </w:r>
          </w:p>
        </w:tc>
        <w:tc>
          <w:tcPr/>
          <w:p>
            <w:pPr>
              <w:pStyle w:val="Compact"/>
              <w:jc w:val="left"/>
            </w:pPr>
            <w:r>
              <w:t xml:space="preserve">95.00</w:t>
            </w:r>
          </w:p>
        </w:tc>
        <w:tc>
          <w:tcPr/>
          <w:p>
            <w:pPr>
              <w:pStyle w:val="Compact"/>
              <w:jc w:val="left"/>
            </w:pPr>
            <w:r>
              <w:t xml:space="preserve">5,700.00</w:t>
            </w:r>
          </w:p>
        </w:tc>
      </w:tr>
      <w:tr>
        <w:tc>
          <w:tcPr/>
          <w:p>
            <w:pPr>
              <w:pStyle w:val="Compact"/>
              <w:jc w:val="left"/>
            </w:pPr>
            <w:r>
              <w:t xml:space="preserve">9</w:t>
            </w:r>
          </w:p>
        </w:tc>
        <w:tc>
          <w:tcPr/>
          <w:p>
            <w:pPr>
              <w:pStyle w:val="Compact"/>
              <w:jc w:val="left"/>
            </w:pPr>
            <w:r>
              <w:t xml:space="preserve">Veterinary Nitrile Examination Gloves, Powder-Free, Size M – 100 pcs/box</w:t>
            </w:r>
          </w:p>
        </w:tc>
        <w:tc>
          <w:tcPr/>
          <w:p>
            <w:pPr>
              <w:pStyle w:val="Compact"/>
              <w:jc w:val="left"/>
            </w:pPr>
            <w:r>
              <w:t xml:space="preserve">GP-GLV-M</w:t>
            </w:r>
          </w:p>
        </w:tc>
        <w:tc>
          <w:tcPr/>
          <w:p>
            <w:pPr>
              <w:pStyle w:val="Compact"/>
              <w:jc w:val="left"/>
            </w:pPr>
            <w:r>
              <w:t xml:space="preserve">150</w:t>
            </w:r>
          </w:p>
        </w:tc>
        <w:tc>
          <w:tcPr/>
          <w:p>
            <w:pPr>
              <w:pStyle w:val="Compact"/>
              <w:jc w:val="left"/>
            </w:pPr>
            <w:r>
              <w:t xml:space="preserve">boxes</w:t>
            </w:r>
          </w:p>
        </w:tc>
        <w:tc>
          <w:tcPr/>
          <w:p>
            <w:pPr>
              <w:pStyle w:val="Compact"/>
              <w:jc w:val="left"/>
            </w:pPr>
            <w:r>
              <w:t xml:space="preserve">38.00</w:t>
            </w:r>
          </w:p>
        </w:tc>
        <w:tc>
          <w:tcPr/>
          <w:p>
            <w:pPr>
              <w:pStyle w:val="Compact"/>
              <w:jc w:val="left"/>
            </w:pPr>
            <w:r>
              <w:t xml:space="preserve">5,700.00</w:t>
            </w:r>
          </w:p>
        </w:tc>
      </w:tr>
      <w:tr>
        <w:tc>
          <w:tcPr/>
          <w:p>
            <w:pPr>
              <w:pStyle w:val="Compact"/>
              <w:jc w:val="left"/>
            </w:pPr>
            <w:r>
              <w:t xml:space="preserve">10</w:t>
            </w:r>
          </w:p>
        </w:tc>
        <w:tc>
          <w:tcPr/>
          <w:p>
            <w:pPr>
              <w:pStyle w:val="Compact"/>
              <w:jc w:val="left"/>
            </w:pPr>
            <w:r>
              <w:t xml:space="preserve">Digital Veterinary Thermometer, Rectal, with 5-second response</w:t>
            </w:r>
          </w:p>
        </w:tc>
        <w:tc>
          <w:tcPr/>
          <w:p>
            <w:pPr>
              <w:pStyle w:val="Compact"/>
              <w:jc w:val="left"/>
            </w:pPr>
            <w:r>
              <w:t xml:space="preserve">GP-THM-05</w:t>
            </w:r>
          </w:p>
        </w:tc>
        <w:tc>
          <w:tcPr/>
          <w:p>
            <w:pPr>
              <w:pStyle w:val="Compact"/>
              <w:jc w:val="left"/>
            </w:pPr>
            <w:r>
              <w:t xml:space="preserve">10</w:t>
            </w:r>
          </w:p>
        </w:tc>
        <w:tc>
          <w:tcPr/>
          <w:p>
            <w:pPr>
              <w:pStyle w:val="Compact"/>
              <w:jc w:val="left"/>
            </w:pPr>
            <w:r>
              <w:t xml:space="preserve">units</w:t>
            </w:r>
          </w:p>
        </w:tc>
        <w:tc>
          <w:tcPr/>
          <w:p>
            <w:pPr>
              <w:pStyle w:val="Compact"/>
              <w:jc w:val="left"/>
            </w:pPr>
            <w:r>
              <w:t xml:space="preserve">185.00</w:t>
            </w:r>
          </w:p>
        </w:tc>
        <w:tc>
          <w:tcPr/>
          <w:p>
            <w:pPr>
              <w:pStyle w:val="Compact"/>
              <w:jc w:val="left"/>
            </w:pPr>
            <w:r>
              <w:t xml:space="preserve">1,850.00</w:t>
            </w:r>
          </w:p>
        </w:tc>
      </w:tr>
      <w:tr>
        <w:tc>
          <w:tcPr>
            <w:gridSpan w:val="6"/>
          </w:tcPr>
          <w:p>
            <w:pPr>
              <w:pStyle w:val="Compact"/>
              <w:jc w:val="right"/>
            </w:pPr>
            <w:r>
              <w:t xml:space="preserve">Subtotal (AED)</w:t>
            </w:r>
          </w:p>
        </w:tc>
        <w:tc>
          <w:tcPr/>
          <w:p>
            <w:pPr>
              <w:pStyle w:val="Compact"/>
              <w:jc w:val="left"/>
            </w:pPr>
            <w:r>
              <w:t xml:space="preserve">148,130.00</w:t>
            </w:r>
          </w:p>
        </w:tc>
      </w:tr>
      <w:tr>
        <w:tc>
          <w:tcPr>
            <w:gridSpan w:val="6"/>
          </w:tcPr>
          <w:p>
            <w:pPr>
              <w:pStyle w:val="Compact"/>
              <w:jc w:val="right"/>
            </w:pPr>
            <w:r>
              <w:t xml:space="preserve">VAT @ 5% (United Arab Emirates)</w:t>
            </w:r>
          </w:p>
        </w:tc>
        <w:tc>
          <w:tcPr/>
          <w:p>
            <w:pPr>
              <w:pStyle w:val="Compact"/>
              <w:jc w:val="left"/>
            </w:pPr>
            <w:r>
              <w:t xml:space="preserve">7,406.50</w:t>
            </w:r>
          </w:p>
        </w:tc>
      </w:tr>
      <w:tr>
        <w:tc>
          <w:tcPr>
            <w:gridSpan w:val="6"/>
          </w:tcPr>
          <w:p>
            <w:pPr>
              <w:pStyle w:val="Compact"/>
              <w:jc w:val="right"/>
            </w:pPr>
            <w:r>
              <w:rPr>
                <w:bCs/>
                <w:b/>
              </w:rPr>
              <w:t xml:space="preserve">Grand Total (AED)</w:t>
            </w:r>
          </w:p>
        </w:tc>
        <w:tc>
          <w:tcPr/>
          <w:p>
            <w:pPr>
              <w:pStyle w:val="Compact"/>
              <w:jc w:val="left"/>
            </w:pPr>
            <w:r>
              <w:rPr>
                <w:bCs/>
                <w:b/>
              </w:rPr>
              <w:t xml:space="preserve">155,536.50</w:t>
            </w:r>
          </w:p>
        </w:tc>
      </w:tr>
    </w:tbl>
    <w:p>
      <w:pPr>
        <w:pStyle w:val="BodyText"/>
      </w:pPr>
      <w:r>
        <w:t xml:space="preserve">4. Terms and Conditions of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Arab Emirates, specifically the Federal Commercial Transactions Law and all applicable regulations of Abu Dhabi Municipality and the Abu Dhabi Agriculture and Food Safety Authority (ADAFSA).</w:t>
      </w:r>
    </w:p>
    <w:p>
      <w:pPr>
        <w:numPr>
          <w:ilvl w:val="0"/>
          <w:numId w:val="1001"/>
        </w:numPr>
        <w:pStyle w:val="Compact"/>
      </w:pPr>
      <w:r>
        <w:rPr>
          <w:bCs/>
          <w:b/>
        </w:rPr>
        <w:t xml:space="preserve">Delivery:</w:t>
      </w:r>
      <w:r>
        <w:t xml:space="preserve"> </w:t>
      </w:r>
      <w:r>
        <w:t xml:space="preserve">All items listed in this Purchase Order must be delivered to the Veterinary Clinic premises at Al Markhaya, Abu Dhabi, United Arab Emirates, no later than 28 June 2025. Delivery shall be made between 08:00 and 16:00 UAE Standard Time (GST, UTC+4).</w:t>
      </w:r>
    </w:p>
    <w:p>
      <w:pPr>
        <w:numPr>
          <w:ilvl w:val="0"/>
          <w:numId w:val="1001"/>
        </w:numPr>
        <w:pStyle w:val="Compact"/>
      </w:pPr>
      <w:r>
        <w:rPr>
          <w:bCs/>
          <w:b/>
        </w:rPr>
        <w:t xml:space="preserve">Quality &amp; Compliance:</w:t>
      </w:r>
      <w:r>
        <w:t xml:space="preserve"> </w:t>
      </w:r>
      <w:r>
        <w:t xml:space="preserve">All veterinary pharmaceuticals, vaccines, and medical devices must comply with the regulatory standards set by ADAFSA and the Ministry of Climate Change and Environment (UAE). The supplier must provide certificates of analysis, batch numbers, and import permits for all regulated items. The Veterinarian in charge (Dr. Fatima Al Mansoori) reserves the right to reject any shipment that does not meet the specified quality parameters.</w:t>
      </w:r>
    </w:p>
    <w:p>
      <w:pPr>
        <w:numPr>
          <w:ilvl w:val="0"/>
          <w:numId w:val="1001"/>
        </w:numPr>
        <w:pStyle w:val="Compact"/>
      </w:pPr>
      <w:r>
        <w:rPr>
          <w:bCs/>
          <w:b/>
        </w:rPr>
        <w:t xml:space="preserve">Payment:</w:t>
      </w:r>
      <w:r>
        <w:t xml:space="preserve"> </w:t>
      </w:r>
      <w:r>
        <w:t xml:space="preserve">Payment of the full Purchase Order amount of AED 155,536.50 (inclusive of 5% VAT) shall be made via bank transfer to the supplier's designated account within thirty (30) calendar days from the date of confirmed receipt and acceptance of all goods. Bank: Emirates NBD, Account: 002-456-789-001, IBAN: AE07024000000000456789012.</w:t>
      </w:r>
    </w:p>
    <w:p>
      <w:pPr>
        <w:numPr>
          <w:ilvl w:val="0"/>
          <w:numId w:val="1001"/>
        </w:numPr>
        <w:pStyle w:val="Compact"/>
      </w:pPr>
      <w:r>
        <w:rPr>
          <w:bCs/>
          <w:b/>
        </w:rPr>
        <w:t xml:space="preserve">Warranty:</w:t>
      </w:r>
      <w:r>
        <w:t xml:space="preserve"> </w:t>
      </w:r>
      <w:r>
        <w:t xml:space="preserve">All equipment items (Ultrasound Machine, Anesthesia Machine, Digital Otoscope) carry a minimum two-year manufacturer's warranty. The supplier shall coordinate any warranty claims on behalf of the Veterinary Clinic.</w:t>
      </w:r>
    </w:p>
    <w:p>
      <w:pPr>
        <w:numPr>
          <w:ilvl w:val="0"/>
          <w:numId w:val="1001"/>
        </w:numPr>
        <w:pStyle w:val="Compact"/>
      </w:pPr>
      <w:r>
        <w:rPr>
          <w:bCs/>
          <w:b/>
        </w:rPr>
        <w:t xml:space="preserve">Storage &amp; Handling:</w:t>
      </w:r>
      <w:r>
        <w:t xml:space="preserve"> </w:t>
      </w:r>
      <w:r>
        <w:t xml:space="preserve">Temperature-sensitive veterinary products (insulin, vaccines) must be transported in validated cold-chain packaging maintaining 2°C to 8°C throughout transit within Abu Dhabi and the United Arab Emirates. A temperature log must accompany each cold-chain shipment.</w:t>
      </w:r>
    </w:p>
    <w:p>
      <w:pPr>
        <w:numPr>
          <w:ilvl w:val="0"/>
          <w:numId w:val="1001"/>
        </w:numPr>
        <w:pStyle w:val="Compact"/>
      </w:pPr>
      <w:r>
        <w:rPr>
          <w:bCs/>
          <w:b/>
        </w:rPr>
        <w:t xml:space="preserve">Dispute Resolution:</w:t>
      </w:r>
      <w:r>
        <w:t xml:space="preserve"> </w:t>
      </w:r>
      <w:r>
        <w:t xml:space="preserve">Any disputes arising from this Purchase Order shall first be subject to amicable negotiation. If unresolved within thirty (30) days, the matter shall be referred to the Abu Dhabi Commercial Court in accordance with UAE federal law.</w:t>
      </w:r>
    </w:p>
    <w:p>
      <w:pPr>
        <w:numPr>
          <w:ilvl w:val="0"/>
          <w:numId w:val="1001"/>
        </w:numPr>
        <w:pStyle w:val="Compact"/>
      </w:pPr>
      <w:r>
        <w:rPr>
          <w:bCs/>
          <w:b/>
        </w:rPr>
        <w:t xml:space="preserve">Validity:</w:t>
      </w:r>
      <w:r>
        <w:t xml:space="preserve"> </w:t>
      </w:r>
      <w:r>
        <w:t xml:space="preserve">This Purchase Order is valid for acceptance within seven (7) calendar days from the date of issue. The supplier must confirm acceptance in writing via email to procurement@alnoorvet.ae.</w:t>
      </w:r>
    </w:p>
    <w:p>
      <w:pPr>
        <w:pStyle w:val="FirstParagraph"/>
      </w:pPr>
      <w:r>
        <w:t xml:space="preserve">5. Authorization &amp; Signatures</w:t>
      </w:r>
    </w:p>
    <w:p>
      <w:pPr>
        <w:pStyle w:val="BodyText"/>
      </w:pPr>
      <w:r>
        <w:rPr>
          <w:bCs/>
          <w:b/>
        </w:rPr>
        <w:t xml:space="preserve">Prepared by (Buyer – Veterinarian):</w:t>
      </w:r>
    </w:p>
    <w:p>
      <w:pPr>
        <w:pStyle w:val="BodyText"/>
      </w:pPr>
      <w:r>
        <w:t xml:space="preserve">Dr. Fatima Al Mansoori, DVM, PhD</w:t>
      </w:r>
      <w:r>
        <w:br/>
      </w:r>
      <w:r>
        <w:t xml:space="preserve">Chief Veterinarian &amp; Medical Director</w:t>
      </w:r>
      <w:r>
        <w:br/>
      </w:r>
      <w:r>
        <w:t xml:space="preserve">Al Noor Veterinary Clinic &amp; Animal Hospital</w:t>
      </w:r>
      <w:r>
        <w:br/>
      </w:r>
      <w:r>
        <w:t xml:space="preserve">Abu Dhabi, United Arab Emirates</w:t>
      </w:r>
      <w:r>
        <w:br/>
      </w:r>
      <w:r>
        <w:t xml:space="preserve">Date: _______________</w:t>
      </w:r>
    </w:p>
    <w:p>
      <w:pPr>
        <w:pStyle w:val="BodyText"/>
      </w:pPr>
      <w:r>
        <w:rPr>
          <w:bCs/>
          <w:b/>
        </w:rPr>
        <w:t xml:space="preserve">Accepted by (Supplier):</w:t>
      </w:r>
    </w:p>
    <w:p>
      <w:pPr>
        <w:pStyle w:val="BodyText"/>
      </w:pPr>
      <w:r>
        <w:t xml:space="preserve">_________________________________</w:t>
      </w:r>
      <w:r>
        <w:br/>
      </w:r>
      <w:r>
        <w:t xml:space="preserve">Authorized Signatory</w:t>
      </w:r>
      <w:r>
        <w:br/>
      </w:r>
      <w:r>
        <w:t xml:space="preserve">Gulf Pet Pharma &amp; Veterinary Supplies FZE</w:t>
      </w:r>
      <w:r>
        <w:br/>
      </w:r>
      <w:r>
        <w:t xml:space="preserve">Abu Dhabi, United Arab Emirates</w:t>
      </w:r>
      <w:r>
        <w:br/>
      </w:r>
      <w:r>
        <w:t xml:space="preserve">Date: _______________</w:t>
      </w:r>
    </w:p>
    <w:p>
      <w:pPr>
        <w:pStyle w:val="BodyText"/>
      </w:pPr>
      <w:r>
        <w:t xml:space="preserve">PURCHASE ORDER</w:t>
      </w:r>
      <w:r>
        <w:t xml:space="preserve"> </w:t>
      </w:r>
      <w:r>
        <w:t xml:space="preserve"> |  PO-AD-2025-0347  |  Al Noor Veterinary Clinic &amp; Animal Hospital, Abu Dhabi, United Arab Emirates</w:t>
      </w:r>
    </w:p>
    <w:p>
      <w:pPr>
        <w:pStyle w:val="BodyText"/>
      </w:pPr>
      <w:r>
        <w:t xml:space="preserve">This document constitutes a binding Purchase Order between the Veterinary Clinic (Buyer) and the Supplier as identified herein. All transactions are subject to UAE Federal Tax Authority (FTA) regulations and 5% Value Added Tax (VAT). This Purchase Order is issued in the English language and is valid throughout the United Arab Emirates, Abu Dhabi.</w:t>
      </w:r>
    </w:p>
    <w:p>
      <w:pPr>
        <w:pStyle w:val="BodyText"/>
      </w:pPr>
      <w:r>
        <w:t xml:space="preserve">© 2025 Al Noor Veterinary Clinic &amp; Animal Hospital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Veterinary Supplies - Abu Dhabi, United Arab Emirates</dc:title>
  <dc:creator/>
  <dc:language>en</dc:language>
  <cp:keywords/>
  <dcterms:created xsi:type="dcterms:W3CDTF">2026-10-10T01:24:31Z</dcterms:created>
  <dcterms:modified xsi:type="dcterms:W3CDTF">2026-10-10T01:24:31Z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