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Veterinary</w:t>
      </w:r>
      <w:r>
        <w:t xml:space="preserve"> </w:t>
      </w:r>
      <w:r>
        <w:t xml:space="preserve">Practice</w:t>
      </w:r>
      <w:r>
        <w:t xml:space="preserve"> </w:t>
      </w:r>
      <w:r>
        <w:t xml:space="preserve">Supply</w:t>
      </w:r>
    </w:p>
    <w:bookmarkStart w:id="20" w:name="purchase-order"/>
    <w:p>
      <w:pPr>
        <w:pStyle w:val="Heading1"/>
      </w:pPr>
      <w:r>
        <w:t xml:space="preserve">PURCHASE ORDER</w:t>
      </w:r>
    </w:p>
    <w:p>
      <w:pPr>
        <w:pStyle w:val="FirstParagraph"/>
      </w:pPr>
      <w:r>
        <w:t xml:space="preserve">Greenfield Veterinary Clinic &amp; Animal Hospital</w:t>
      </w:r>
    </w:p>
    <w:p>
      <w:pPr>
        <w:pStyle w:val="BodyText"/>
      </w:pPr>
      <w:r>
        <w:t xml:space="preserve">42 Harley Street, Marylebone, London, W1G 9PF, United Kingdom</w:t>
      </w:r>
    </w:p>
    <w:p>
      <w:pPr>
        <w:pStyle w:val="BodyText"/>
      </w:pPr>
      <w:r>
        <w:t xml:space="preserve">Tel: +44 (0)20 7946 0821 | Email: procurement@greenfieldvet.co.uk</w:t>
      </w:r>
    </w:p>
    <w:p>
      <w:pPr>
        <w:pStyle w:val="BodyText"/>
      </w:pPr>
      <w:r>
        <w:t xml:space="preserve">PO No: GV-2025-04782</w:t>
      </w:r>
    </w:p>
    <w:bookmarkEnd w:id="20"/>
    <w:p>
      <w:pPr>
        <w:pStyle w:val="BodyText"/>
      </w:pPr>
      <w:r>
        <w:rPr>
          <w:bCs/>
          <w:b/>
        </w:rPr>
        <w:t xml:space="preserve">Date of Issue:</w:t>
      </w:r>
      <w:r>
        <w:t xml:space="preserve"> </w:t>
      </w:r>
      <w:r>
        <w:t xml:space="preserve">14 June 2025</w:t>
      </w:r>
      <w:r>
        <w:br/>
      </w:r>
      <w:r>
        <w:rPr>
          <w:bCs/>
          <w:b/>
        </w:rPr>
        <w:t xml:space="preserve">Required Delivery Date:</w:t>
      </w:r>
      <w:r>
        <w:t xml:space="preserve"> </w:t>
      </w:r>
      <w:r>
        <w:t xml:space="preserve">28 June 2025</w:t>
      </w:r>
      <w:r>
        <w:br/>
      </w:r>
      <w:r>
        <w:rPr>
          <w:bCs/>
          <w:b/>
        </w:rPr>
        <w:t xml:space="preserve">Delivery Location:</w:t>
      </w:r>
      <w:r>
        <w:t xml:space="preserve"> </w:t>
      </w:r>
      <w:r>
        <w:t xml:space="preserve">United Kingdom London</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British Pounds (GBP £)</w:t>
      </w:r>
      <w:r>
        <w:br/>
      </w:r>
      <w:r>
        <w:rPr>
          <w:bCs/>
          <w:b/>
        </w:rPr>
        <w:t xml:space="preserve">Incoterms:</w:t>
      </w:r>
      <w:r>
        <w:t xml:space="preserve"> </w:t>
      </w:r>
      <w:r>
        <w:t xml:space="preserve">DAP London</w:t>
      </w:r>
    </w:p>
    <w:p>
      <w:pPr>
        <w:pStyle w:val="BodyText"/>
      </w:pPr>
      <w:r>
        <w:t xml:space="preserve">1. Purchasing Party (Buyer)</w:t>
      </w:r>
    </w:p>
    <w:bookmarkStart w:id="21" w:name="Xcf9d9a132a9af6bce35153a2137aae5715a7830"/>
    <w:p>
      <w:pPr>
        <w:pStyle w:val="Heading3"/>
      </w:pPr>
      <w:r>
        <w:t xml:space="preserve">Greenfield Veterinary Clinic &amp; Animal Hospital</w:t>
      </w:r>
    </w:p>
    <w:p>
      <w:pPr>
        <w:pStyle w:val="FirstParagraph"/>
      </w:pPr>
      <w:r>
        <w:t xml:space="preserve">42 Harley Street, Marylebone</w:t>
      </w:r>
      <w:r>
        <w:br/>
      </w:r>
      <w:r>
        <w:t xml:space="preserve">London, W1G 9PF</w:t>
      </w:r>
      <w:r>
        <w:br/>
      </w:r>
      <w:r>
        <w:t xml:space="preserve">United Kingdom</w:t>
      </w:r>
    </w:p>
    <w:p>
      <w:pPr>
        <w:pStyle w:val="BodyText"/>
      </w:pPr>
      <w:r>
        <w:rPr>
          <w:bCs/>
          <w:b/>
        </w:rPr>
        <w:t xml:space="preserve">Registered in England &amp; Wales</w:t>
      </w:r>
      <w:r>
        <w:br/>
      </w:r>
      <w:r>
        <w:t xml:space="preserve">Company No: 08765432</w:t>
      </w:r>
      <w:r>
        <w:br/>
      </w:r>
      <w:r>
        <w:t xml:space="preserve">VAT No: GB 123 4567 89</w:t>
      </w:r>
    </w:p>
    <w:p>
      <w:pPr>
        <w:pStyle w:val="BodyText"/>
      </w:pPr>
      <w:r>
        <w:rPr>
          <w:bCs/>
          <w:b/>
        </w:rPr>
        <w:t xml:space="preserve">Authorised Signatory:</w:t>
      </w:r>
      <w:r>
        <w:br/>
      </w:r>
      <w:r>
        <w:t xml:space="preserve">Dr. Eleanor Whitmore, BVMS, MRCVS</w:t>
      </w:r>
      <w:r>
        <w:br/>
      </w:r>
      <w:r>
        <w:t xml:space="preserve">Lead Veterinarian &amp; Practice Director</w:t>
      </w:r>
    </w:p>
    <w:bookmarkEnd w:id="21"/>
    <w:bookmarkStart w:id="22" w:name="supplier-vendor"/>
    <w:p>
      <w:pPr>
        <w:pStyle w:val="Heading3"/>
      </w:pPr>
      <w:r>
        <w:t xml:space="preserve">Supplier (Vendor)</w:t>
      </w:r>
    </w:p>
    <w:p>
      <w:pPr>
        <w:pStyle w:val="FirstParagraph"/>
      </w:pPr>
      <w:r>
        <w:t xml:space="preserve">MedVet Supplies International Ltd.</w:t>
      </w:r>
      <w:r>
        <w:br/>
      </w:r>
      <w:r>
        <w:t xml:space="preserve">Unit 7, Riverside Business Park</w:t>
      </w:r>
      <w:r>
        <w:br/>
      </w:r>
      <w:r>
        <w:t xml:space="preserve">188 Regent Street, London, W1B 4TS</w:t>
      </w:r>
      <w:r>
        <w:br/>
      </w:r>
      <w:r>
        <w:t xml:space="preserve">United Kingdom</w:t>
      </w:r>
    </w:p>
    <w:p>
      <w:pPr>
        <w:pStyle w:val="BodyText"/>
      </w:pPr>
      <w:r>
        <w:rPr>
          <w:bCs/>
          <w:b/>
        </w:rPr>
        <w:t xml:space="preserve">Registered in England &amp; Wales</w:t>
      </w:r>
      <w:r>
        <w:br/>
      </w:r>
      <w:r>
        <w:t xml:space="preserve">Company No: 09876543</w:t>
      </w:r>
      <w:r>
        <w:br/>
      </w:r>
      <w:r>
        <w:t xml:space="preserve">VAT No: GB 987 6543 21</w:t>
      </w:r>
    </w:p>
    <w:p>
      <w:pPr>
        <w:pStyle w:val="BodyText"/>
      </w:pPr>
      <w:r>
        <w:rPr>
          <w:bCs/>
          <w:b/>
        </w:rPr>
        <w:t xml:space="preserve">Contact Person:</w:t>
      </w:r>
      <w:r>
        <w:br/>
      </w:r>
      <w:r>
        <w:t xml:space="preserve">Mr. James Hartley</w:t>
      </w:r>
      <w:r>
        <w:br/>
      </w:r>
      <w:r>
        <w:t xml:space="preserve">Sales &amp; Account Manager</w:t>
      </w:r>
      <w:r>
        <w:br/>
      </w:r>
      <w:r>
        <w:t xml:space="preserve">Tel: +44 (0)20 7837 4455</w:t>
      </w:r>
    </w:p>
    <w:bookmarkEnd w:id="22"/>
    <w:p>
      <w:pPr>
        <w:pStyle w:val="BodyText"/>
      </w:pPr>
      <w:r>
        <w:t xml:space="preserve">2. Purchase Order Line Items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Ref</w:t>
            </w:r>
          </w:p>
        </w:tc>
        <w:tc>
          <w:tcPr/>
          <w:p>
            <w:pPr>
              <w:pStyle w:val="Compact"/>
              <w:jc w:val="left"/>
            </w:pPr>
            <w:r>
              <w:t xml:space="preserve">Description of Goods / Services</w:t>
            </w:r>
          </w:p>
        </w:tc>
        <w:tc>
          <w:tcPr/>
          <w:p>
            <w:pPr>
              <w:pStyle w:val="Compact"/>
              <w:jc w:val="left"/>
            </w:pPr>
            <w:r>
              <w:t xml:space="preserve">SKU / Catalogue No.</w:t>
            </w:r>
          </w:p>
        </w:tc>
        <w:tc>
          <w:tcPr/>
          <w:p>
            <w:pPr>
              <w:pStyle w:val="Compact"/>
              <w:jc w:val="left"/>
            </w:pPr>
            <w:r>
              <w:t xml:space="preserve">Qty</w:t>
            </w:r>
          </w:p>
        </w:tc>
        <w:tc>
          <w:tcPr/>
          <w:p>
            <w:pPr>
              <w:pStyle w:val="Compact"/>
              <w:jc w:val="left"/>
            </w:pPr>
            <w:r>
              <w:t xml:space="preserve">Unit Price (£)</w:t>
            </w:r>
          </w:p>
        </w:tc>
        <w:tc>
          <w:tcPr/>
          <w:p>
            <w:pPr>
              <w:pStyle w:val="Compact"/>
              <w:jc w:val="left"/>
            </w:pPr>
            <w:r>
              <w:t xml:space="preserve">Line Total (£)</w:t>
            </w:r>
          </w:p>
        </w:tc>
        <w:tc>
          <w:tcPr/>
          <w:p>
            <w:pPr>
              <w:pStyle w:val="Compact"/>
              <w:jc w:val="left"/>
            </w:pPr>
            <w:r>
              <w:t xml:space="preserve">Delivery Date</w:t>
            </w:r>
          </w:p>
        </w:tc>
      </w:tr>
      <w:tr>
        <w:tc>
          <w:tcPr/>
          <w:p>
            <w:pPr>
              <w:pStyle w:val="Compact"/>
              <w:jc w:val="left"/>
            </w:pPr>
            <w:r>
              <w:t xml:space="preserve">01</w:t>
            </w:r>
          </w:p>
        </w:tc>
        <w:tc>
          <w:tcPr/>
          <w:p>
            <w:pPr>
              <w:pStyle w:val="Compact"/>
              <w:jc w:val="left"/>
            </w:pPr>
            <w:r>
              <w:t xml:space="preserve">Digital Radiography System – Portable X-Ray Unit for Veterinary Diagnostic Imaging (includes software licence for 3 years)</w:t>
            </w:r>
          </w:p>
        </w:tc>
        <w:tc>
          <w:tcPr/>
          <w:p>
            <w:pPr>
              <w:pStyle w:val="Compact"/>
              <w:jc w:val="left"/>
            </w:pPr>
            <w:r>
              <w:t xml:space="preserve">MVS-RAD-2025</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c>
          <w:tcPr/>
          <w:p>
            <w:pPr>
              <w:pStyle w:val="Compact"/>
              <w:jc w:val="left"/>
            </w:pPr>
            <w:r>
              <w:t xml:space="preserve">28 June 2025</w:t>
            </w:r>
          </w:p>
        </w:tc>
      </w:tr>
      <w:tr>
        <w:tc>
          <w:tcPr/>
          <w:p>
            <w:pPr>
              <w:pStyle w:val="Compact"/>
              <w:jc w:val="left"/>
            </w:pPr>
            <w:r>
              <w:t xml:space="preserve">02</w:t>
            </w:r>
          </w:p>
        </w:tc>
        <w:tc>
          <w:tcPr/>
          <w:p>
            <w:pPr>
              <w:pStyle w:val="Compact"/>
              <w:jc w:val="left"/>
            </w:pPr>
            <w:r>
              <w:t xml:space="preserve">Ultrasound Scanner – High-Resolution B-Mode &amp; Doppler, Veterinary Grade, 12 cm Linear Probe</w:t>
            </w:r>
          </w:p>
        </w:tc>
        <w:tc>
          <w:tcPr/>
          <w:p>
            <w:pPr>
              <w:pStyle w:val="Compact"/>
              <w:jc w:val="left"/>
            </w:pPr>
            <w:r>
              <w:t xml:space="preserve">MVS-ULS-4400</w:t>
            </w:r>
          </w:p>
        </w:tc>
        <w:tc>
          <w:tcPr/>
          <w:p>
            <w:pPr>
              <w:pStyle w:val="Compact"/>
              <w:jc w:val="left"/>
            </w:pPr>
            <w:r>
              <w:t xml:space="preserve">1</w:t>
            </w:r>
          </w:p>
        </w:tc>
        <w:tc>
          <w:tcPr/>
          <w:p>
            <w:pPr>
              <w:pStyle w:val="Compact"/>
              <w:jc w:val="left"/>
            </w:pPr>
            <w:r>
              <w:t xml:space="preserve">12,300.00</w:t>
            </w:r>
          </w:p>
        </w:tc>
        <w:tc>
          <w:tcPr/>
          <w:p>
            <w:pPr>
              <w:pStyle w:val="Compact"/>
              <w:jc w:val="left"/>
            </w:pPr>
            <w:r>
              <w:t xml:space="preserve">12,300.00</w:t>
            </w:r>
          </w:p>
        </w:tc>
        <w:tc>
          <w:tcPr/>
          <w:p>
            <w:pPr>
              <w:pStyle w:val="Compact"/>
              <w:jc w:val="left"/>
            </w:pPr>
            <w:r>
              <w:t xml:space="preserve">28 June 2025</w:t>
            </w:r>
          </w:p>
        </w:tc>
      </w:tr>
      <w:tr>
        <w:tc>
          <w:tcPr/>
          <w:p>
            <w:pPr>
              <w:pStyle w:val="Compact"/>
              <w:jc w:val="left"/>
            </w:pPr>
            <w:r>
              <w:t xml:space="preserve">03</w:t>
            </w:r>
          </w:p>
        </w:tc>
        <w:tc>
          <w:tcPr/>
          <w:p>
            <w:pPr>
              <w:pStyle w:val="Compact"/>
              <w:jc w:val="left"/>
            </w:pPr>
            <w:r>
              <w:t xml:space="preserve">Autoclave – Class B, 25 Litre Capacity, for Surgical Instrument Sterilisation (Veterinary Standard EN 13060)</w:t>
            </w:r>
          </w:p>
        </w:tc>
        <w:tc>
          <w:tcPr/>
          <w:p>
            <w:pPr>
              <w:pStyle w:val="Compact"/>
              <w:jc w:val="left"/>
            </w:pPr>
            <w:r>
              <w:t xml:space="preserve">MVS-ACL-25B</w:t>
            </w:r>
          </w:p>
        </w:tc>
        <w:tc>
          <w:tcPr/>
          <w:p>
            <w:pPr>
              <w:pStyle w:val="Compact"/>
              <w:jc w:val="left"/>
            </w:pPr>
            <w:r>
              <w:t xml:space="preserve">2</w:t>
            </w:r>
          </w:p>
        </w:tc>
        <w:tc>
          <w:tcPr/>
          <w:p>
            <w:pPr>
              <w:pStyle w:val="Compact"/>
              <w:jc w:val="left"/>
            </w:pPr>
            <w:r>
              <w:t xml:space="preserve">2,850.00</w:t>
            </w:r>
          </w:p>
        </w:tc>
        <w:tc>
          <w:tcPr/>
          <w:p>
            <w:pPr>
              <w:pStyle w:val="Compact"/>
              <w:jc w:val="left"/>
            </w:pPr>
            <w:r>
              <w:t xml:space="preserve">5,700.00</w:t>
            </w:r>
          </w:p>
        </w:tc>
        <w:tc>
          <w:tcPr/>
          <w:p>
            <w:pPr>
              <w:pStyle w:val="Compact"/>
              <w:jc w:val="left"/>
            </w:pPr>
            <w:r>
              <w:t xml:space="preserve">28 June 2025</w:t>
            </w:r>
          </w:p>
        </w:tc>
      </w:tr>
      <w:tr>
        <w:tc>
          <w:tcPr/>
          <w:p>
            <w:pPr>
              <w:pStyle w:val="Compact"/>
              <w:jc w:val="left"/>
            </w:pPr>
            <w:r>
              <w:t xml:space="preserve">04</w:t>
            </w:r>
          </w:p>
        </w:tc>
        <w:tc>
          <w:tcPr/>
          <w:p>
            <w:pPr>
              <w:pStyle w:val="Compact"/>
              <w:jc w:val="left"/>
            </w:pPr>
            <w:r>
              <w:t xml:space="preserve">Surgical Instrument Set – Complete Orthopaedic &amp; Soft Tissue Kit, Stainless Steel, Veterinary Grade</w:t>
            </w:r>
          </w:p>
        </w:tc>
        <w:tc>
          <w:tcPr/>
          <w:p>
            <w:pPr>
              <w:pStyle w:val="Compact"/>
              <w:jc w:val="left"/>
            </w:pPr>
            <w:r>
              <w:t xml:space="preserve">MVS-SRG-ORT-01</w:t>
            </w:r>
          </w:p>
        </w:tc>
        <w:tc>
          <w:tcPr/>
          <w:p>
            <w:pPr>
              <w:pStyle w:val="Compact"/>
              <w:jc w:val="left"/>
            </w:pPr>
            <w:r>
              <w:t xml:space="preserve">4</w:t>
            </w:r>
          </w:p>
        </w:tc>
        <w:tc>
          <w:tcPr/>
          <w:p>
            <w:pPr>
              <w:pStyle w:val="Compact"/>
              <w:jc w:val="left"/>
            </w:pPr>
            <w:r>
              <w:t xml:space="preserve">1,240.00</w:t>
            </w:r>
          </w:p>
        </w:tc>
        <w:tc>
          <w:tcPr/>
          <w:p>
            <w:pPr>
              <w:pStyle w:val="Compact"/>
              <w:jc w:val="left"/>
            </w:pPr>
            <w:r>
              <w:t xml:space="preserve">4,960.00</w:t>
            </w:r>
          </w:p>
        </w:tc>
        <w:tc>
          <w:tcPr/>
          <w:p>
            <w:pPr>
              <w:pStyle w:val="Compact"/>
              <w:jc w:val="left"/>
            </w:pPr>
            <w:r>
              <w:t xml:space="preserve">28 June 2025</w:t>
            </w:r>
          </w:p>
        </w:tc>
      </w:tr>
      <w:tr>
        <w:tc>
          <w:tcPr/>
          <w:p>
            <w:pPr>
              <w:pStyle w:val="Compact"/>
              <w:jc w:val="left"/>
            </w:pPr>
            <w:r>
              <w:t xml:space="preserve">05</w:t>
            </w:r>
          </w:p>
        </w:tc>
        <w:tc>
          <w:tcPr/>
          <w:p>
            <w:pPr>
              <w:pStyle w:val="Compact"/>
              <w:jc w:val="left"/>
            </w:pPr>
            <w:r>
              <w:t xml:space="preserve">Isopropyl Myristate &amp; Veterinary Anaesthetic Agent (Isoflurane) – 250 ml Bottles, UK MHRA Approved</w:t>
            </w:r>
          </w:p>
        </w:tc>
        <w:tc>
          <w:tcPr/>
          <w:p>
            <w:pPr>
              <w:pStyle w:val="Compact"/>
              <w:jc w:val="left"/>
            </w:pPr>
            <w:r>
              <w:t xml:space="preserve">MVS-ANA-ISO-250</w:t>
            </w:r>
          </w:p>
        </w:tc>
        <w:tc>
          <w:tcPr/>
          <w:p>
            <w:pPr>
              <w:pStyle w:val="Compact"/>
              <w:jc w:val="left"/>
            </w:pPr>
            <w:r>
              <w:t xml:space="preserve">24</w:t>
            </w:r>
          </w:p>
        </w:tc>
        <w:tc>
          <w:tcPr/>
          <w:p>
            <w:pPr>
              <w:pStyle w:val="Compact"/>
              <w:jc w:val="left"/>
            </w:pPr>
            <w:r>
              <w:t xml:space="preserve">89.50</w:t>
            </w:r>
          </w:p>
        </w:tc>
        <w:tc>
          <w:tcPr/>
          <w:p>
            <w:pPr>
              <w:pStyle w:val="Compact"/>
              <w:jc w:val="left"/>
            </w:pPr>
            <w:r>
              <w:t xml:space="preserve">2,148.00</w:t>
            </w:r>
          </w:p>
        </w:tc>
        <w:tc>
          <w:tcPr/>
          <w:p>
            <w:pPr>
              <w:pStyle w:val="Compact"/>
              <w:jc w:val="left"/>
            </w:pPr>
            <w:r>
              <w:t xml:space="preserve">28 June 2025</w:t>
            </w:r>
          </w:p>
        </w:tc>
      </w:tr>
      <w:tr>
        <w:tc>
          <w:tcPr/>
          <w:p>
            <w:pPr>
              <w:pStyle w:val="Compact"/>
              <w:jc w:val="left"/>
            </w:pPr>
            <w:r>
              <w:t xml:space="preserve">06</w:t>
            </w:r>
          </w:p>
        </w:tc>
        <w:tc>
          <w:tcPr/>
          <w:p>
            <w:pPr>
              <w:pStyle w:val="Compact"/>
              <w:jc w:val="left"/>
            </w:pPr>
            <w:r>
              <w:t xml:space="preserve">Disposable Surgical Gloves – Nitrile, Powder-Free, Sizes 6.5 to 8.5 (Mixed Case of 500 pairs)</w:t>
            </w:r>
          </w:p>
        </w:tc>
        <w:tc>
          <w:tcPr/>
          <w:p>
            <w:pPr>
              <w:pStyle w:val="Compact"/>
              <w:jc w:val="left"/>
            </w:pPr>
            <w:r>
              <w:t xml:space="preserve">MVS-GLV-NIT-MIX</w:t>
            </w:r>
          </w:p>
        </w:tc>
        <w:tc>
          <w:tcPr/>
          <w:p>
            <w:pPr>
              <w:pStyle w:val="Compact"/>
              <w:jc w:val="left"/>
            </w:pPr>
            <w:r>
              <w:t xml:space="preserve">10</w:t>
            </w:r>
          </w:p>
        </w:tc>
        <w:tc>
          <w:tcPr/>
          <w:p>
            <w:pPr>
              <w:pStyle w:val="Compact"/>
              <w:jc w:val="left"/>
            </w:pPr>
            <w:r>
              <w:t xml:space="preserve">62.00</w:t>
            </w:r>
          </w:p>
        </w:tc>
        <w:tc>
          <w:tcPr/>
          <w:p>
            <w:pPr>
              <w:pStyle w:val="Compact"/>
              <w:jc w:val="left"/>
            </w:pPr>
            <w:r>
              <w:t xml:space="preserve">620.00</w:t>
            </w:r>
          </w:p>
        </w:tc>
        <w:tc>
          <w:tcPr/>
          <w:p>
            <w:pPr>
              <w:pStyle w:val="Compact"/>
              <w:jc w:val="left"/>
            </w:pPr>
            <w:r>
              <w:t xml:space="preserve">28 June 2025</w:t>
            </w:r>
          </w:p>
        </w:tc>
      </w:tr>
      <w:tr>
        <w:tc>
          <w:tcPr/>
          <w:p>
            <w:pPr>
              <w:pStyle w:val="Compact"/>
              <w:jc w:val="left"/>
            </w:pPr>
            <w:r>
              <w:t xml:space="preserve">07</w:t>
            </w:r>
          </w:p>
        </w:tc>
        <w:tc>
          <w:tcPr/>
          <w:p>
            <w:pPr>
              <w:pStyle w:val="Compact"/>
              <w:jc w:val="left"/>
            </w:pPr>
            <w:r>
              <w:t xml:space="preserve">IV Cannula Set – Veterinary, Assorted Sizes (14G, 18G, 20G, 22G), 250 units per pack</w:t>
            </w:r>
          </w:p>
        </w:tc>
        <w:tc>
          <w:tcPr/>
          <w:p>
            <w:pPr>
              <w:pStyle w:val="Compact"/>
              <w:jc w:val="left"/>
            </w:pPr>
            <w:r>
              <w:t xml:space="preserve">MVS-IVC-ASS-250</w:t>
            </w:r>
          </w:p>
        </w:tc>
        <w:tc>
          <w:tcPr/>
          <w:p>
            <w:pPr>
              <w:pStyle w:val="Compact"/>
              <w:jc w:val="left"/>
            </w:pPr>
            <w:r>
              <w:t xml:space="preserve">8</w:t>
            </w:r>
          </w:p>
        </w:tc>
        <w:tc>
          <w:tcPr/>
          <w:p>
            <w:pPr>
              <w:pStyle w:val="Compact"/>
              <w:jc w:val="left"/>
            </w:pPr>
            <w:r>
              <w:t xml:space="preserve">145.00</w:t>
            </w:r>
          </w:p>
        </w:tc>
        <w:tc>
          <w:tcPr/>
          <w:p>
            <w:pPr>
              <w:pStyle w:val="Compact"/>
              <w:jc w:val="left"/>
            </w:pPr>
            <w:r>
              <w:t xml:space="preserve">1,160.00</w:t>
            </w:r>
          </w:p>
        </w:tc>
        <w:tc>
          <w:tcPr/>
          <w:p>
            <w:pPr>
              <w:pStyle w:val="Compact"/>
              <w:jc w:val="left"/>
            </w:pPr>
            <w:r>
              <w:t xml:space="preserve">28 June 2025</w:t>
            </w:r>
          </w:p>
        </w:tc>
      </w:tr>
      <w:tr>
        <w:tc>
          <w:tcPr/>
          <w:p>
            <w:pPr>
              <w:pStyle w:val="Compact"/>
              <w:jc w:val="left"/>
            </w:pPr>
            <w:r>
              <w:t xml:space="preserve">08</w:t>
            </w:r>
          </w:p>
        </w:tc>
        <w:tc>
          <w:tcPr/>
          <w:p>
            <w:pPr>
              <w:pStyle w:val="Compact"/>
              <w:jc w:val="left"/>
            </w:pPr>
            <w:r>
              <w:t xml:space="preserve">Practice Management Software – Annual Licence Renewal (includes cloud hosting, 5 user seats, UK data residency)</w:t>
            </w:r>
          </w:p>
        </w:tc>
        <w:tc>
          <w:tcPr/>
          <w:p>
            <w:pPr>
              <w:pStyle w:val="Compact"/>
              <w:jc w:val="left"/>
            </w:pPr>
            <w:r>
              <w:t xml:space="preserve">MVS-SW-PM-5YR</w:t>
            </w:r>
          </w:p>
        </w:tc>
        <w:tc>
          <w:tcPr/>
          <w:p>
            <w:pPr>
              <w:pStyle w:val="Compact"/>
              <w:jc w:val="left"/>
            </w:pPr>
            <w:r>
              <w:t xml:space="preserve">1</w:t>
            </w:r>
          </w:p>
        </w:tc>
        <w:tc>
          <w:tcPr/>
          <w:p>
            <w:pPr>
              <w:pStyle w:val="Compact"/>
              <w:jc w:val="left"/>
            </w:pPr>
            <w:r>
              <w:t xml:space="preserve">3,400.00</w:t>
            </w:r>
          </w:p>
        </w:tc>
        <w:tc>
          <w:tcPr/>
          <w:p>
            <w:pPr>
              <w:pStyle w:val="Compact"/>
              <w:jc w:val="left"/>
            </w:pPr>
            <w:r>
              <w:t xml:space="preserve">3,400.00</w:t>
            </w:r>
          </w:p>
        </w:tc>
        <w:tc>
          <w:tcPr/>
          <w:p>
            <w:pPr>
              <w:pStyle w:val="Compact"/>
              <w:jc w:val="left"/>
            </w:pPr>
            <w:r>
              <w:t xml:space="preserve">28 June 2025</w:t>
            </w:r>
          </w:p>
        </w:tc>
      </w:tr>
      <w:tr>
        <w:tc>
          <w:tcPr/>
          <w:p>
            <w:pPr>
              <w:pStyle w:val="Compact"/>
              <w:jc w:val="left"/>
            </w:pPr>
            <w:r>
              <w:t xml:space="preserve">09</w:t>
            </w:r>
          </w:p>
        </w:tc>
        <w:tc>
          <w:tcPr/>
          <w:p>
            <w:pPr>
              <w:pStyle w:val="Compact"/>
              <w:jc w:val="left"/>
            </w:pPr>
            <w:r>
              <w:t xml:space="preserve">Installation, Calibration &amp; Staff Training for Items 01, 02, and 03 (on-site at London premises, 2 days)</w:t>
            </w:r>
          </w:p>
        </w:tc>
        <w:tc>
          <w:tcPr/>
          <w:p>
            <w:pPr>
              <w:pStyle w:val="Compact"/>
              <w:jc w:val="left"/>
            </w:pPr>
            <w:r>
              <w:t xml:space="preserve">MVS-SVC-INST-01</w:t>
            </w:r>
          </w:p>
        </w:tc>
        <w:tc>
          <w:tcPr/>
          <w:p>
            <w:pPr>
              <w:pStyle w:val="Compact"/>
              <w:jc w:val="left"/>
            </w:pPr>
            <w:r>
              <w:t xml:space="preserve">1</w:t>
            </w:r>
          </w:p>
        </w:tc>
        <w:tc>
          <w:tcPr/>
          <w:p>
            <w:pPr>
              <w:pStyle w:val="Compact"/>
              <w:jc w:val="left"/>
            </w:pPr>
            <w:r>
              <w:t xml:space="preserve">2,200.00</w:t>
            </w:r>
          </w:p>
        </w:tc>
        <w:tc>
          <w:tcPr/>
          <w:p>
            <w:pPr>
              <w:pStyle w:val="Compact"/>
              <w:jc w:val="left"/>
            </w:pPr>
            <w:r>
              <w:t xml:space="preserve">2,200.00</w:t>
            </w:r>
          </w:p>
        </w:tc>
        <w:tc>
          <w:tcPr/>
          <w:p>
            <w:pPr>
              <w:pStyle w:val="Compact"/>
              <w:jc w:val="left"/>
            </w:pPr>
            <w:r>
              <w:t xml:space="preserve">30 June 2025</w:t>
            </w:r>
          </w:p>
        </w:tc>
      </w:tr>
      <w:tr>
        <w:tc>
          <w:tcPr/>
          <w:p>
            <w:pPr>
              <w:pStyle w:val="Compact"/>
              <w:jc w:val="left"/>
            </w:pPr>
            <w:r>
              <w:t xml:space="preserve">10</w:t>
            </w:r>
          </w:p>
        </w:tc>
        <w:tc>
          <w:tcPr/>
          <w:p>
            <w:pPr>
              <w:pStyle w:val="Compact"/>
              <w:jc w:val="left"/>
            </w:pPr>
            <w:r>
              <w:t xml:space="preserve">Waste Disposal &amp; Hazardous Material Removal – Old Radiography Equipment (UK Environmental Agency compliant)</w:t>
            </w:r>
          </w:p>
        </w:tc>
        <w:tc>
          <w:tcPr/>
          <w:p>
            <w:pPr>
              <w:pStyle w:val="Compact"/>
              <w:jc w:val="left"/>
            </w:pPr>
            <w:r>
              <w:t xml:space="preserve">MVS-WST-RAD-01</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c>
          <w:tcPr/>
          <w:p>
            <w:pPr>
              <w:pStyle w:val="Compact"/>
              <w:jc w:val="left"/>
            </w:pPr>
            <w:r>
              <w:t xml:space="preserve">30 June 2025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right"/>
            </w:pPr>
            <w:r>
              <w:t xml:space="preserve">£ 53,838.00</w:t>
            </w:r>
          </w:p>
        </w:tc>
      </w:tr>
      <w:tr>
        <w:tc>
          <w:tcPr/>
          <w:p>
            <w:pPr>
              <w:pStyle w:val="Compact"/>
              <w:jc w:val="left"/>
            </w:pPr>
            <w:r>
              <w:t xml:space="preserve">VAT @ 20% (United Kingdom)</w:t>
            </w:r>
          </w:p>
        </w:tc>
        <w:tc>
          <w:tcPr/>
          <w:p>
            <w:pPr>
              <w:pStyle w:val="Compact"/>
              <w:jc w:val="right"/>
            </w:pPr>
            <w:r>
              <w:t xml:space="preserve">£ 10,767.60</w:t>
            </w:r>
          </w:p>
        </w:tc>
      </w:tr>
      <w:tr>
        <w:tc>
          <w:tcPr/>
          <w:p>
            <w:pPr>
              <w:pStyle w:val="Compact"/>
              <w:jc w:val="left"/>
            </w:pPr>
            <w:r>
              <w:t xml:space="preserve">Delivery &amp; Handling (London, UK)</w:t>
            </w:r>
          </w:p>
        </w:tc>
        <w:tc>
          <w:tcPr/>
          <w:p>
            <w:pPr>
              <w:pStyle w:val="Compact"/>
              <w:jc w:val="right"/>
            </w:pPr>
            <w:r>
              <w:t xml:space="preserve">£ 350.00</w:t>
            </w:r>
          </w:p>
        </w:tc>
      </w:tr>
      <w:tr>
        <w:tc>
          <w:tcPr/>
          <w:p>
            <w:pPr>
              <w:pStyle w:val="Compact"/>
              <w:jc w:val="left"/>
            </w:pPr>
            <w:r>
              <w:t xml:space="preserve">GRAND TOTAL (incl. VAT)</w:t>
            </w:r>
          </w:p>
        </w:tc>
        <w:tc>
          <w:tcPr/>
          <w:p>
            <w:pPr>
              <w:pStyle w:val="Compact"/>
              <w:jc w:val="right"/>
            </w:pPr>
            <w:r>
              <w:t xml:space="preserve">£ 64,955.60</w:t>
            </w:r>
          </w:p>
        </w:tc>
      </w:tr>
    </w:tbl>
    <w:p>
      <w:pPr>
        <w:pStyle w:val="BodyText"/>
      </w:pPr>
      <w:r>
        <w:t xml:space="preserve">3. Terms and Conditions</w:t>
      </w:r>
    </w:p>
    <w:p>
      <w:pPr>
        <w:numPr>
          <w:ilvl w:val="0"/>
          <w:numId w:val="1001"/>
        </w:numPr>
        <w:pStyle w:val="Compact"/>
      </w:pPr>
      <w:r>
        <w:rPr>
          <w:bCs/>
          <w:b/>
        </w:rPr>
        <w:t xml:space="preserve">Delivery:</w:t>
      </w:r>
      <w:r>
        <w:t xml:space="preserve"> </w:t>
      </w:r>
      <w:r>
        <w:t xml:space="preserve">All goods shall be delivered to the Veterinary practice premises at 42 Harley Street, Marylebone, London, W1G 9PF, United Kingdom. The supplier is responsible for safe transport, insurance, and unloading at the designated loading bay. Delivery must be completed no later than 28 June 2025, with installation and training services to follow by 30 June 2025.</w:t>
      </w:r>
    </w:p>
    <w:p>
      <w:pPr>
        <w:numPr>
          <w:ilvl w:val="0"/>
          <w:numId w:val="1001"/>
        </w:numPr>
        <w:pStyle w:val="Compact"/>
      </w:pPr>
      <w:r>
        <w:rPr>
          <w:bCs/>
          <w:b/>
        </w:rPr>
        <w:t xml:space="preserve">Payment:</w:t>
      </w:r>
      <w:r>
        <w:t xml:space="preserve"> </w:t>
      </w:r>
      <w:r>
        <w:t xml:space="preserve">Payment shall be made by BACS bank transfer within thirty (30) calendar days of receipt of a valid tax invoice from the supplier. Remittance details: Bank – Barclays PLC, Sort Code – 20-15-88, Account No – 55667788, Reference – PO GV-2025-04782. Late payment shall attract interest at the rate of 4% above the Bank of England base rate, in accordance with the Late Payment of Commercial Debts (Interest) Act 1998.</w:t>
      </w:r>
    </w:p>
    <w:p>
      <w:pPr>
        <w:numPr>
          <w:ilvl w:val="0"/>
          <w:numId w:val="1001"/>
        </w:numPr>
        <w:pStyle w:val="Compact"/>
      </w:pPr>
      <w:r>
        <w:rPr>
          <w:bCs/>
          <w:b/>
        </w:rPr>
        <w:t xml:space="preserve">Quality &amp; Compliance:</w:t>
      </w:r>
      <w:r>
        <w:t xml:space="preserve"> </w:t>
      </w:r>
      <w:r>
        <w:t xml:space="preserve">All veterinary medical devices, pharmaceuticals, and consumables supplied under this Purchase Order must comply with the UK Medical Devices Regulations 2002 (as amended), the Medicines for Human Use (Marketing Authorisations) (No. 2) Regulations 2012, and all applicable standards set by the Royal College of Veterinary Surgeons (RCVS). The supplier warrants that all items are new, unused, and free from defects.</w:t>
      </w:r>
    </w:p>
    <w:p>
      <w:pPr>
        <w:numPr>
          <w:ilvl w:val="0"/>
          <w:numId w:val="1001"/>
        </w:numPr>
        <w:pStyle w:val="Compact"/>
      </w:pPr>
      <w:r>
        <w:rPr>
          <w:bCs/>
          <w:b/>
        </w:rPr>
        <w:t xml:space="preserve">Warranty:</w:t>
      </w:r>
      <w:r>
        <w:t xml:space="preserve"> </w:t>
      </w:r>
      <w:r>
        <w:t xml:space="preserve">The supplier provides a minimum twelve (12) month warranty on all capital equipment (Items 01, 02, and 03) from the date of installation and commissioning. Consumable items carry a three (3) month warranty against manufacturing defects. Any defective goods shall be replaced or repaired at the supplier's sole cost within fourteen (14) working days.</w:t>
      </w:r>
    </w:p>
    <w:p>
      <w:pPr>
        <w:numPr>
          <w:ilvl w:val="0"/>
          <w:numId w:val="1001"/>
        </w:numPr>
        <w:pStyle w:val="Compact"/>
      </w:pPr>
      <w:r>
        <w:rPr>
          <w:bCs/>
          <w:b/>
        </w:rPr>
        <w:t xml:space="preserve">Intellectual Property &amp; Data:</w:t>
      </w:r>
      <w:r>
        <w:t xml:space="preserve"> </w:t>
      </w:r>
      <w:r>
        <w:t xml:space="preserve">The practice management software licence (Item 08) is granted solely to Greenfield Veterinary Clinic &amp; Animal Hospital for internal use at its London, United Kingdom premises. All patient data shall be stored on UK-based servers in compliance with the UK General Data Protection Regulation (UK GDPR) and the Data Protection Act 2018.</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if such failure results from events beyond reasonable control, including but not limited to acts of God, government sanctions, or supply chain disruptions affecting the United Kingdom.</w:t>
      </w:r>
    </w:p>
    <w:p>
      <w:pPr>
        <w:numPr>
          <w:ilvl w:val="0"/>
          <w:numId w:val="1001"/>
        </w:numPr>
        <w:pStyle w:val="Compact"/>
      </w:pPr>
      <w:r>
        <w:rPr>
          <w:bCs/>
          <w:b/>
        </w:rPr>
        <w:t xml:space="preserve">Governing Law:</w:t>
      </w:r>
      <w:r>
        <w:t xml:space="preserve"> </w:t>
      </w:r>
      <w:r>
        <w:t xml:space="preserve">This Purchase Order and any disputes arising from it shall be governed by and construed in accordance with the laws of England and Wales. Any disputes shall be subject to the exclusive jurisdiction of the courts of London, United Kingdom.</w:t>
      </w:r>
    </w:p>
    <w:p>
      <w:pPr>
        <w:numPr>
          <w:ilvl w:val="0"/>
          <w:numId w:val="1001"/>
        </w:numPr>
        <w:pStyle w:val="Compact"/>
      </w:pPr>
      <w:r>
        <w:rPr>
          <w:bCs/>
          <w:b/>
        </w:rPr>
        <w:t xml:space="preserve">Acceptance:</w:t>
      </w:r>
      <w:r>
        <w:t xml:space="preserve"> </w:t>
      </w:r>
      <w:r>
        <w:t xml:space="preserve">The buyer shall inspect all delivered goods within five (5) working days of receipt. Failure to notify the supplier of any discrepancy within this period shall constitute acceptance of the goods as conforming to this Purchase Order.</w:t>
      </w:r>
    </w:p>
    <w:p>
      <w:pPr>
        <w:pStyle w:val="FirstParagraph"/>
      </w:pPr>
      <w:r>
        <w:t xml:space="preserve">4. Authorisation &amp; Acceptance</w:t>
      </w:r>
    </w:p>
    <w:p>
      <w:pPr>
        <w:pStyle w:val="BodyText"/>
      </w:pPr>
      <w:r>
        <w:rPr>
          <w:bCs/>
          <w:b/>
        </w:rPr>
        <w:t xml:space="preserve">For and on behalf of the Buyer:</w:t>
      </w:r>
    </w:p>
    <w:p>
      <w:pPr>
        <w:pStyle w:val="BodyText"/>
      </w:pPr>
      <w:r>
        <w:t xml:space="preserve">Greenfield Veterinary Clinic &amp; Animal Hospital</w:t>
      </w:r>
    </w:p>
    <w:p>
      <w:pPr>
        <w:pStyle w:val="BodyText"/>
      </w:pPr>
      <w:r>
        <w:t xml:space="preserve">Dr. Eleanor Whitmore, BVMS, MRCVS</w:t>
      </w:r>
      <w:r>
        <w:br/>
      </w:r>
      <w:r>
        <w:t xml:space="preserve">Lead Veterinarian &amp; Practice Director</w:t>
      </w:r>
      <w:r>
        <w:br/>
      </w:r>
      <w:r>
        <w:t xml:space="preserve">Date: 14 June 2025</w:t>
      </w:r>
    </w:p>
    <w:p>
      <w:pPr>
        <w:pStyle w:val="BodyText"/>
      </w:pPr>
      <w:r>
        <w:rPr>
          <w:bCs/>
          <w:b/>
        </w:rPr>
        <w:t xml:space="preserve">For and on behalf of the Supplier:</w:t>
      </w:r>
    </w:p>
    <w:p>
      <w:pPr>
        <w:pStyle w:val="BodyText"/>
      </w:pPr>
      <w:r>
        <w:t xml:space="preserve">MedVet Supplies International Ltd.</w:t>
      </w:r>
    </w:p>
    <w:p>
      <w:pPr>
        <w:pStyle w:val="BodyText"/>
      </w:pPr>
      <w:r>
        <w:t xml:space="preserve">Mr. James Hartley</w:t>
      </w:r>
      <w:r>
        <w:br/>
      </w:r>
      <w:r>
        <w:t xml:space="preserve">Sales &amp; Account Manager</w:t>
      </w:r>
      <w:r>
        <w:br/>
      </w:r>
      <w:r>
        <w:t xml:space="preserve">Date: _______________</w:t>
      </w:r>
    </w:p>
    <w:p>
      <w:pPr>
        <w:pStyle w:val="BodyText"/>
      </w:pPr>
      <w:r>
        <w:t xml:space="preserve">This Purchase Order (Ref: GV-2025-04782) was issued by Greenfield Veterinary Clinic &amp; Animal Hospital, a registered veterinary practice operating in London, United Kingdom. This document constitutes a binding commercial agreement upon countersignature by both parties. All references to "Veterinarian" in this document pertain to the qualified veterinary professionals authorised to oversee the procurement, installation, and clinical use of the goods and services specified herein. This Purchase Order is valid for a period of ninety (90) days from the date of issue. © 2025 Greenfield Veterinary Clinic &amp; Animal Hospital.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Veterinary Practice Supply</dc:title>
  <dc:creator/>
  <dc:language>en-GB</dc:language>
  <cp:keywords/>
  <dcterms:created xsi:type="dcterms:W3CDTF">2026-10-10T03:18:30Z</dcterms:created>
  <dcterms:modified xsi:type="dcterms:W3CDTF">2026-10-10T03:18:30Z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