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rPr>
          <w:bCs/>
          <w:b/>
        </w:rPr>
        <w:t xml:space="preserve">Tashkent Veterinary Medical Center LLP</w:t>
      </w:r>
    </w:p>
    <w:p>
      <w:pPr>
        <w:pStyle w:val="BodyText"/>
      </w:pPr>
      <w:r>
        <w:t xml:space="preserve">142 Amir Temur Avenue, Tashkent, 100084, Uzbekistan</w:t>
      </w:r>
    </w:p>
    <w:p>
      <w:pPr>
        <w:pStyle w:val="BodyText"/>
      </w:pPr>
      <w:r>
        <w:t xml:space="preserve">Tel: +998 (71) 200-45-67 | Email: procurement@tashkentvet.uz</w:t>
      </w:r>
    </w:p>
    <w:p>
      <w:pPr>
        <w:pStyle w:val="BodyText"/>
      </w:pPr>
      <w:r>
        <w:t xml:space="preserve">Registration No. 100084-2019-7734 | VAT ID: 201900456</w:t>
      </w:r>
    </w:p>
    <w:bookmarkEnd w:id="20"/>
    <w:p>
      <w:pPr>
        <w:pStyle w:val="BodyText"/>
      </w:pPr>
      <w:r>
        <w:rPr>
          <w:bCs/>
          <w:b/>
        </w:rPr>
        <w:t xml:space="preserve">Purchase Order No.:</w:t>
      </w:r>
      <w:r>
        <w:t xml:space="preserve"> </w:t>
      </w:r>
      <w:r>
        <w:t xml:space="preserve">PO-TVMC-2025-0347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DAP Tashkent, Uzbekistan</w:t>
      </w:r>
      <w:r>
        <w:br/>
      </w:r>
      <w:r>
        <w:rPr>
          <w:bCs/>
          <w:b/>
        </w:rPr>
        <w:t xml:space="preserve">Incoterms:</w:t>
      </w:r>
      <w:r>
        <w:t xml:space="preserve"> </w:t>
      </w:r>
      <w:r>
        <w:t xml:space="preserve">DAP 2020</w:t>
      </w:r>
    </w:p>
    <w:p>
      <w:pPr>
        <w:pStyle w:val="BodyText"/>
      </w:pPr>
      <w:r>
        <w:rPr>
          <w:bCs/>
          <w:b/>
        </w:rPr>
        <w:t xml:space="preserve">Buyer Contact:</w:t>
      </w:r>
      <w:r>
        <w:t xml:space="preserve"> </w:t>
      </w:r>
      <w:r>
        <w:t xml:space="preserve">Dr. Aziz Karimov</w:t>
      </w:r>
      <w:r>
        <w:br/>
      </w:r>
      <w:r>
        <w:rPr>
          <w:bCs/>
          <w:b/>
        </w:rPr>
        <w:t xml:space="preserve">Position:</w:t>
      </w:r>
      <w:r>
        <w:t xml:space="preserve"> </w:t>
      </w:r>
      <w:r>
        <w:t xml:space="preserve">Lead Veterinarian / Procurement Head</w:t>
      </w:r>
      <w:r>
        <w:br/>
      </w:r>
      <w:r>
        <w:rPr>
          <w:bCs/>
          <w:b/>
        </w:rPr>
        <w:t xml:space="preserve">Phone:</w:t>
      </w:r>
      <w:r>
        <w:t xml:space="preserve"> </w:t>
      </w:r>
      <w:r>
        <w:t xml:space="preserve">+998 (90) 123-45-67</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MedVet International Supply Co. Ltd.</w:t>
            </w:r>
          </w:p>
        </w:tc>
      </w:tr>
      <w:tr>
        <w:tc>
          <w:tcPr/>
          <w:p>
            <w:pPr>
              <w:pStyle w:val="Compact"/>
              <w:jc w:val="left"/>
            </w:pPr>
            <w:r>
              <w:rPr>
                <w:bCs/>
                <w:b/>
              </w:rPr>
              <w:t xml:space="preserve">Address:</w:t>
            </w:r>
          </w:p>
        </w:tc>
        <w:tc>
          <w:tcPr/>
          <w:p>
            <w:pPr>
              <w:pStyle w:val="Compact"/>
              <w:jc w:val="left"/>
            </w:pPr>
            <w:r>
              <w:t xml:space="preserve">88 Industrial Park Road, Almaty, 050040, Republic of Kazakhstan</w:t>
            </w:r>
          </w:p>
        </w:tc>
      </w:tr>
      <w:tr>
        <w:tc>
          <w:tcPr/>
          <w:p>
            <w:pPr>
              <w:pStyle w:val="Compact"/>
              <w:jc w:val="left"/>
            </w:pPr>
            <w:r>
              <w:rPr>
                <w:bCs/>
                <w:b/>
              </w:rPr>
              <w:t xml:space="preserve">Contact Person:</w:t>
            </w:r>
          </w:p>
        </w:tc>
        <w:tc>
          <w:tcPr/>
          <w:p>
            <w:pPr>
              <w:pStyle w:val="Compact"/>
              <w:jc w:val="left"/>
            </w:pPr>
            <w:r>
              <w:t xml:space="preserve">Ms. Elena Volkova, Regional Sales Manager for Central Asia</w:t>
            </w:r>
          </w:p>
        </w:tc>
      </w:tr>
      <w:tr>
        <w:tc>
          <w:tcPr/>
          <w:p>
            <w:pPr>
              <w:pStyle w:val="Compact"/>
              <w:jc w:val="left"/>
            </w:pPr>
            <w:r>
              <w:rPr>
                <w:bCs/>
                <w:b/>
              </w:rPr>
              <w:t xml:space="preserve">Email:</w:t>
            </w:r>
          </w:p>
        </w:tc>
        <w:tc>
          <w:tcPr/>
          <w:p>
            <w:pPr>
              <w:pStyle w:val="Compact"/>
              <w:jc w:val="left"/>
            </w:pPr>
            <w:r>
              <w:t xml:space="preserve">sales.centralasia@medvetintl.com</w:t>
            </w:r>
          </w:p>
        </w:tc>
      </w:tr>
      <w:tr>
        <w:tc>
          <w:tcPr/>
          <w:p>
            <w:pPr>
              <w:pStyle w:val="Compact"/>
              <w:jc w:val="left"/>
            </w:pPr>
            <w:r>
              <w:rPr>
                <w:bCs/>
                <w:b/>
              </w:rPr>
              <w:t xml:space="preserve">VAT / Tax ID:</w:t>
            </w:r>
          </w:p>
        </w:tc>
        <w:tc>
          <w:tcPr/>
          <w:p>
            <w:pPr>
              <w:pStyle w:val="Compact"/>
              <w:jc w:val="left"/>
            </w:pPr>
            <w:r>
              <w:t xml:space="preserve">KZ-998765432101</w:t>
            </w:r>
          </w:p>
        </w:tc>
      </w:tr>
    </w:tbl>
    <w:p>
      <w:pPr>
        <w:pStyle w:val="BodyText"/>
      </w:pPr>
      <w:r>
        <w:t xml:space="preserve">Buyer / Receiving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Tashkent Veterinary Medical Center LLP</w:t>
            </w:r>
          </w:p>
        </w:tc>
      </w:tr>
      <w:tr>
        <w:tc>
          <w:tcPr/>
          <w:p>
            <w:pPr>
              <w:pStyle w:val="Compact"/>
              <w:jc w:val="left"/>
            </w:pPr>
            <w:r>
              <w:rPr>
                <w:bCs/>
                <w:b/>
              </w:rPr>
              <w:t xml:space="preserve">Receiving Address:</w:t>
            </w:r>
          </w:p>
        </w:tc>
        <w:tc>
          <w:tcPr/>
          <w:p>
            <w:pPr>
              <w:pStyle w:val="Compact"/>
              <w:jc w:val="left"/>
            </w:pPr>
            <w:r>
              <w:t xml:space="preserve">142 Amir Temur Avenue, Warehouse Block B, Tashkent, 100084, Uzbekistan</w:t>
            </w:r>
          </w:p>
        </w:tc>
      </w:tr>
      <w:tr>
        <w:tc>
          <w:tcPr/>
          <w:p>
            <w:pPr>
              <w:pStyle w:val="Compact"/>
              <w:jc w:val="left"/>
            </w:pPr>
            <w:r>
              <w:rPr>
                <w:bCs/>
                <w:b/>
              </w:rPr>
              <w:t xml:space="preserve">Receiving Contact:</w:t>
            </w:r>
          </w:p>
        </w:tc>
        <w:tc>
          <w:tcPr/>
          <w:p>
            <w:pPr>
              <w:pStyle w:val="Compact"/>
              <w:jc w:val="left"/>
            </w:pPr>
            <w:r>
              <w:t xml:space="preserve">Mr. Rustam Yusupov, Logistics Coordinator</w:t>
            </w:r>
          </w:p>
        </w:tc>
      </w:tr>
      <w:tr>
        <w:tc>
          <w:tcPr/>
          <w:p>
            <w:pPr>
              <w:pStyle w:val="Compact"/>
              <w:jc w:val="left"/>
            </w:pPr>
            <w:r>
              <w:rPr>
                <w:bCs/>
                <w:b/>
              </w:rPr>
              <w:t xml:space="preserve">Delivery Window:</w:t>
            </w:r>
          </w:p>
        </w:tc>
        <w:tc>
          <w:tcPr/>
          <w:p>
            <w:pPr>
              <w:pStyle w:val="Compact"/>
              <w:jc w:val="left"/>
            </w:pPr>
            <w:r>
              <w:t xml:space="preserve">Monday to Friday, 09:00 – 17:00 (Tashkent local time, UTC+5)</w:t>
            </w:r>
          </w:p>
        </w:tc>
      </w:tr>
    </w:tbl>
    <w:p>
      <w:pPr>
        <w:pStyle w:val="BodyText"/>
      </w:pPr>
      <w:r>
        <w:t xml:space="preserve">Line Items – Veterinary Supplies, Equipment, and Medications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Digital Veterinary Thermometer (rectal, 0.1°C precision) – for use by Veterinarian staff during routine examinations</w:t>
            </w:r>
          </w:p>
        </w:tc>
        <w:tc>
          <w:tcPr/>
          <w:p>
            <w:pPr>
              <w:pStyle w:val="Compact"/>
              <w:jc w:val="left"/>
            </w:pPr>
            <w:r>
              <w:t xml:space="preserve">MV-TH-2201</w:t>
            </w:r>
          </w:p>
        </w:tc>
        <w:tc>
          <w:tcPr/>
          <w:p>
            <w:pPr>
              <w:pStyle w:val="Compact"/>
              <w:jc w:val="left"/>
            </w:pPr>
            <w:r>
              <w:t xml:space="preserve">25</w:t>
            </w:r>
          </w:p>
        </w:tc>
        <w:tc>
          <w:tcPr/>
          <w:p>
            <w:pPr>
              <w:pStyle w:val="Compact"/>
              <w:jc w:val="left"/>
            </w:pPr>
            <w:r>
              <w:t xml:space="preserve">pcs</w:t>
            </w:r>
          </w:p>
        </w:tc>
        <w:tc>
          <w:tcPr/>
          <w:p>
            <w:pPr>
              <w:pStyle w:val="Compact"/>
              <w:jc w:val="left"/>
            </w:pPr>
            <w:r>
              <w:t xml:space="preserve">42.50</w:t>
            </w:r>
          </w:p>
        </w:tc>
        <w:tc>
          <w:tcPr/>
          <w:p>
            <w:pPr>
              <w:pStyle w:val="Compact"/>
              <w:jc w:val="left"/>
            </w:pPr>
            <w:r>
              <w:t xml:space="preserve">1,062.50</w:t>
            </w:r>
          </w:p>
        </w:tc>
      </w:tr>
      <w:tr>
        <w:tc>
          <w:tcPr/>
          <w:p>
            <w:pPr>
              <w:pStyle w:val="Compact"/>
              <w:jc w:val="left"/>
            </w:pPr>
            <w:r>
              <w:t xml:space="preserve">2</w:t>
            </w:r>
          </w:p>
        </w:tc>
        <w:tc>
          <w:tcPr/>
          <w:p>
            <w:pPr>
              <w:pStyle w:val="Compact"/>
              <w:jc w:val="left"/>
            </w:pPr>
            <w:r>
              <w:t xml:space="preserve">Portable Veterinary Ultrasound Scanner, 5.0 MHz probe, 7-inch display – essential diagnostic tool for the Veterinarian team</w:t>
            </w:r>
          </w:p>
        </w:tc>
        <w:tc>
          <w:tcPr/>
          <w:p>
            <w:pPr>
              <w:pStyle w:val="Compact"/>
              <w:jc w:val="left"/>
            </w:pPr>
            <w:r>
              <w:t xml:space="preserve">MV-US-5500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3</w:t>
            </w:r>
          </w:p>
        </w:tc>
        <w:tc>
          <w:tcPr/>
          <w:p>
            <w:pPr>
              <w:pStyle w:val="Compact"/>
              <w:jc w:val="left"/>
            </w:pPr>
            <w:r>
              <w:t xml:space="preserve">Veterinary Surgical Kit (42-piece stainless steel set, autoclavable) – for surgical procedures performed by the Veterinarian</w:t>
            </w:r>
          </w:p>
        </w:tc>
        <w:tc>
          <w:tcPr/>
          <w:p>
            <w:pPr>
              <w:pStyle w:val="Compact"/>
              <w:jc w:val="left"/>
            </w:pPr>
            <w:r>
              <w:t xml:space="preserve">MV-SK-4200</w:t>
            </w:r>
          </w:p>
        </w:tc>
        <w:tc>
          <w:tcPr/>
          <w:p>
            <w:pPr>
              <w:pStyle w:val="Compact"/>
              <w:jc w:val="left"/>
            </w:pPr>
            <w:r>
              <w:t xml:space="preserve">4</w:t>
            </w:r>
          </w:p>
        </w:tc>
        <w:tc>
          <w:tcPr/>
          <w:p>
            <w:pPr>
              <w:pStyle w:val="Compact"/>
              <w:jc w:val="left"/>
            </w:pPr>
            <w:r>
              <w:t xml:space="preserve">sets</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4</w:t>
            </w:r>
          </w:p>
        </w:tc>
        <w:tc>
          <w:tcPr/>
          <w:p>
            <w:pPr>
              <w:pStyle w:val="Compact"/>
              <w:jc w:val="left"/>
            </w:pPr>
            <w:r>
              <w:t xml:space="preserve">Amoxicillin 250 mg Veterinary Tablets, 1000-tablet blister pack – approved for use in Uzbekistan Tashkent veterinary clinics</w:t>
            </w:r>
          </w:p>
        </w:tc>
        <w:tc>
          <w:tcPr/>
          <w:p>
            <w:pPr>
              <w:pStyle w:val="Compact"/>
              <w:jc w:val="left"/>
            </w:pPr>
            <w:r>
              <w:t xml:space="preserve">MV-AM-2500</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18.75</w:t>
            </w:r>
          </w:p>
        </w:tc>
        <w:tc>
          <w:tcPr/>
          <w:p>
            <w:pPr>
              <w:pStyle w:val="Compact"/>
              <w:jc w:val="left"/>
            </w:pPr>
            <w:r>
              <w:t xml:space="preserve">937.50</w:t>
            </w:r>
          </w:p>
        </w:tc>
      </w:tr>
      <w:tr>
        <w:tc>
          <w:tcPr/>
          <w:p>
            <w:pPr>
              <w:pStyle w:val="Compact"/>
              <w:jc w:val="left"/>
            </w:pPr>
            <w:r>
              <w:t xml:space="preserve">5</w:t>
            </w:r>
          </w:p>
        </w:tc>
        <w:tc>
          <w:tcPr/>
          <w:p>
            <w:pPr>
              <w:pStyle w:val="Compact"/>
              <w:jc w:val="left"/>
            </w:pPr>
            <w:r>
              <w:t xml:space="preserve">Enrofloxacin 5% Injectable Solution, 100 ml vials – for treatment of bacterial infections in livestock and companion animals</w:t>
            </w:r>
          </w:p>
        </w:tc>
        <w:tc>
          <w:tcPr/>
          <w:p>
            <w:pPr>
              <w:pStyle w:val="Compact"/>
              <w:jc w:val="left"/>
            </w:pPr>
            <w:r>
              <w:t xml:space="preserve">MV-EN-5100</w:t>
            </w:r>
          </w:p>
        </w:tc>
        <w:tc>
          <w:tcPr/>
          <w:p>
            <w:pPr>
              <w:pStyle w:val="Compact"/>
              <w:jc w:val="left"/>
            </w:pPr>
            <w:r>
              <w:t xml:space="preserve">80</w:t>
            </w:r>
          </w:p>
        </w:tc>
        <w:tc>
          <w:tcPr/>
          <w:p>
            <w:pPr>
              <w:pStyle w:val="Compact"/>
              <w:jc w:val="left"/>
            </w:pPr>
            <w:r>
              <w:t xml:space="preserve">vials</w:t>
            </w:r>
          </w:p>
        </w:tc>
        <w:tc>
          <w:tcPr/>
          <w:p>
            <w:pPr>
              <w:pStyle w:val="Compact"/>
              <w:jc w:val="left"/>
            </w:pPr>
            <w:r>
              <w:t xml:space="preserve">12.30</w:t>
            </w:r>
          </w:p>
        </w:tc>
        <w:tc>
          <w:tcPr/>
          <w:p>
            <w:pPr>
              <w:pStyle w:val="Compact"/>
              <w:jc w:val="left"/>
            </w:pPr>
            <w:r>
              <w:t xml:space="preserve">984.00</w:t>
            </w:r>
          </w:p>
        </w:tc>
      </w:tr>
      <w:tr>
        <w:tc>
          <w:tcPr/>
          <w:p>
            <w:pPr>
              <w:pStyle w:val="Compact"/>
              <w:jc w:val="left"/>
            </w:pPr>
            <w:r>
              <w:t xml:space="preserve">6</w:t>
            </w:r>
          </w:p>
        </w:tc>
        <w:tc>
          <w:tcPr/>
          <w:p>
            <w:pPr>
              <w:pStyle w:val="Compact"/>
              <w:jc w:val="left"/>
            </w:pPr>
            <w:r>
              <w:t xml:space="preserve">Veterinary IV Fluid Set (macro/micro drip, 1.5 m length) – for fluid therapy administered by the Veterinarian</w:t>
            </w:r>
          </w:p>
        </w:tc>
        <w:tc>
          <w:tcPr/>
          <w:p>
            <w:pPr>
              <w:pStyle w:val="Compact"/>
              <w:jc w:val="left"/>
            </w:pPr>
            <w:r>
              <w:t xml:space="preserve">MV-IV-1500</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3.20</w:t>
            </w:r>
          </w:p>
        </w:tc>
        <w:tc>
          <w:tcPr/>
          <w:p>
            <w:pPr>
              <w:pStyle w:val="Compact"/>
              <w:jc w:val="left"/>
            </w:pPr>
            <w:r>
              <w:t xml:space="preserve">640.00</w:t>
            </w:r>
          </w:p>
        </w:tc>
      </w:tr>
      <w:tr>
        <w:tc>
          <w:tcPr/>
          <w:p>
            <w:pPr>
              <w:pStyle w:val="Compact"/>
              <w:jc w:val="left"/>
            </w:pPr>
            <w:r>
              <w:t xml:space="preserve">7</w:t>
            </w:r>
          </w:p>
        </w:tc>
        <w:tc>
          <w:tcPr/>
          <w:p>
            <w:pPr>
              <w:pStyle w:val="Compact"/>
              <w:jc w:val="left"/>
            </w:pPr>
            <w:r>
              <w:t xml:space="preserve">Digital Veterinary Scales (capacity 300 kg, 10 g resolution) – for weighing animals at the Tashkent clinic</w:t>
            </w:r>
          </w:p>
        </w:tc>
        <w:tc>
          <w:tcPr/>
          <w:p>
            <w:pPr>
              <w:pStyle w:val="Compact"/>
              <w:jc w:val="left"/>
            </w:pPr>
            <w:r>
              <w:t xml:space="preserve">MV-DS-3000</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285.00</w:t>
            </w:r>
          </w:p>
        </w:tc>
        <w:tc>
          <w:tcPr/>
          <w:p>
            <w:pPr>
              <w:pStyle w:val="Compact"/>
              <w:jc w:val="left"/>
            </w:pPr>
            <w:r>
              <w:t xml:space="preserve">855.00</w:t>
            </w:r>
          </w:p>
        </w:tc>
      </w:tr>
      <w:tr>
        <w:tc>
          <w:tcPr/>
          <w:p>
            <w:pPr>
              <w:pStyle w:val="Compact"/>
              <w:jc w:val="left"/>
            </w:pPr>
            <w:r>
              <w:t xml:space="preserve">8</w:t>
            </w:r>
          </w:p>
        </w:tc>
        <w:tc>
          <w:tcPr/>
          <w:p>
            <w:pPr>
              <w:pStyle w:val="Compact"/>
              <w:jc w:val="left"/>
            </w:pPr>
            <w:r>
              <w:t xml:space="preserve">Vaccination Syringes (1 ml, 2 ml, 5 ml, 10 ml – assorted) – for routine immunization programs in Uzbekistan Tashkent</w:t>
            </w:r>
          </w:p>
        </w:tc>
        <w:tc>
          <w:tcPr/>
          <w:p>
            <w:pPr>
              <w:pStyle w:val="Compact"/>
              <w:jc w:val="left"/>
            </w:pPr>
            <w:r>
              <w:t xml:space="preserve">MV-VS-ASSORT</w:t>
            </w:r>
          </w:p>
        </w:tc>
        <w:tc>
          <w:tcPr/>
          <w:p>
            <w:pPr>
              <w:pStyle w:val="Compact"/>
              <w:jc w:val="left"/>
            </w:pPr>
            <w:r>
              <w:t xml:space="preserve">500</w:t>
            </w:r>
          </w:p>
        </w:tc>
        <w:tc>
          <w:tcPr/>
          <w:p>
            <w:pPr>
              <w:pStyle w:val="Compact"/>
              <w:jc w:val="left"/>
            </w:pPr>
            <w:r>
              <w:t xml:space="preserve">pcs</w:t>
            </w:r>
          </w:p>
        </w:tc>
        <w:tc>
          <w:tcPr/>
          <w:p>
            <w:pPr>
              <w:pStyle w:val="Compact"/>
              <w:jc w:val="left"/>
            </w:pPr>
            <w:r>
              <w:t xml:space="preserve">0.45</w:t>
            </w:r>
          </w:p>
        </w:tc>
        <w:tc>
          <w:tcPr/>
          <w:p>
            <w:pPr>
              <w:pStyle w:val="Compact"/>
              <w:jc w:val="left"/>
            </w:pPr>
            <w:r>
              <w:t xml:space="preserve">225.00</w:t>
            </w:r>
          </w:p>
        </w:tc>
      </w:tr>
      <w:tr>
        <w:tc>
          <w:tcPr/>
          <w:p>
            <w:pPr>
              <w:pStyle w:val="Compact"/>
              <w:jc w:val="left"/>
            </w:pPr>
            <w:r>
              <w:t xml:space="preserve">9</w:t>
            </w:r>
          </w:p>
        </w:tc>
        <w:tc>
          <w:tcPr/>
          <w:p>
            <w:pPr>
              <w:pStyle w:val="Compact"/>
              <w:jc w:val="left"/>
            </w:pPr>
            <w:r>
              <w:t xml:space="preserve">Autoclave, 28-liter capacity, Class B – for sterilization of instruments used by the Veterinarian team</w:t>
            </w:r>
          </w:p>
        </w:tc>
        <w:tc>
          <w:tcPr/>
          <w:p>
            <w:pPr>
              <w:pStyle w:val="Compact"/>
              <w:jc w:val="left"/>
            </w:pPr>
            <w:r>
              <w:t xml:space="preserve">MV-AC-2800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10</w:t>
            </w:r>
          </w:p>
        </w:tc>
        <w:tc>
          <w:tcPr/>
          <w:p>
            <w:pPr>
              <w:pStyle w:val="Compact"/>
              <w:jc w:val="left"/>
            </w:pPr>
            <w:r>
              <w:t xml:space="preserve">Veterinary Nitrile Examination Gloves (S, M, L – mixed box of 500)</w:t>
            </w:r>
          </w:p>
        </w:tc>
        <w:tc>
          <w:tcPr/>
          <w:p>
            <w:pPr>
              <w:pStyle w:val="Compact"/>
              <w:jc w:val="left"/>
            </w:pPr>
            <w:r>
              <w:t xml:space="preserve">MV-NG-500M</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28.00</w:t>
            </w:r>
          </w:p>
        </w:tc>
        <w:tc>
          <w:tcPr/>
          <w:p>
            <w:pPr>
              <w:pStyle w:val="Compact"/>
              <w:jc w:val="left"/>
            </w:pPr>
            <w:r>
              <w:t xml:space="preserve">840.00</w:t>
            </w:r>
          </w:p>
        </w:tc>
      </w:tr>
    </w:tbl>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gridSpan w:val="6"/>
          </w:tcPr>
          <w:p>
            <w:pPr>
              <w:pStyle w:val="Compact"/>
              <w:jc w:val="right"/>
            </w:pPr>
            <w:r>
              <w:rPr>
                <w:bCs/>
                <w:b/>
              </w:rPr>
              <w:t xml:space="preserve">Subtotal:</w:t>
            </w:r>
          </w:p>
        </w:tc>
        <w:tc>
          <w:tcPr/>
          <w:p>
            <w:pPr>
              <w:pStyle w:val="Compact"/>
              <w:jc w:val="left"/>
            </w:pPr>
            <w:r>
              <w:t xml:space="preserve">$20,874.00</w:t>
            </w:r>
          </w:p>
        </w:tc>
      </w:tr>
      <w:tr>
        <w:tc>
          <w:tcPr>
            <w:gridSpan w:val="6"/>
          </w:tcPr>
          <w:p>
            <w:pPr>
              <w:pStyle w:val="Compact"/>
              <w:jc w:val="right"/>
            </w:pPr>
            <w:r>
              <w:t xml:space="preserve">VAT (12% – Uzbekistan standard rate):</w:t>
            </w:r>
          </w:p>
        </w:tc>
        <w:tc>
          <w:tcPr/>
          <w:p>
            <w:pPr>
              <w:pStyle w:val="Compact"/>
              <w:jc w:val="left"/>
            </w:pPr>
            <w:r>
              <w:t xml:space="preserve">$2,504.88</w:t>
            </w:r>
          </w:p>
        </w:tc>
      </w:tr>
      <w:tr>
        <w:tc>
          <w:tcPr>
            <w:gridSpan w:val="6"/>
          </w:tcPr>
          <w:p>
            <w:pPr>
              <w:pStyle w:val="Compact"/>
              <w:jc w:val="right"/>
            </w:pPr>
            <w:r>
              <w:t xml:space="preserve">Import Duty &amp; Customs Clearance (Uzbekistan Tashkent):</w:t>
            </w:r>
          </w:p>
        </w:tc>
        <w:tc>
          <w:tcPr/>
          <w:p>
            <w:pPr>
              <w:pStyle w:val="Compact"/>
              <w:jc w:val="left"/>
            </w:pPr>
            <w:r>
              <w:t xml:space="preserve">$1,252.44</w:t>
            </w:r>
          </w:p>
        </w:tc>
      </w:tr>
      <w:tr>
        <w:tc>
          <w:tcPr>
            <w:gridSpan w:val="6"/>
          </w:tcPr>
          <w:p>
            <w:pPr>
              <w:pStyle w:val="Compact"/>
              <w:jc w:val="right"/>
            </w:pPr>
            <w:r>
              <w:t xml:space="preserve">Freight &amp; Insurance (Almaty → Tashkent):</w:t>
            </w:r>
          </w:p>
        </w:tc>
        <w:tc>
          <w:tcPr/>
          <w:p>
            <w:pPr>
              <w:pStyle w:val="Compact"/>
              <w:jc w:val="left"/>
            </w:pPr>
            <w:r>
              <w:t xml:space="preserve">$485.00</w:t>
            </w:r>
          </w:p>
        </w:tc>
      </w:tr>
      <w:tr>
        <w:tc>
          <w:tcPr>
            <w:gridSpan w:val="6"/>
          </w:tcPr>
          <w:p>
            <w:pPr>
              <w:pStyle w:val="Compact"/>
              <w:jc w:val="right"/>
            </w:pPr>
            <w:r>
              <w:rPr>
                <w:bCs/>
                <w:b/>
              </w:rPr>
              <w:t xml:space="preserve">TOTAL AMOUNT DUE (USD):</w:t>
            </w:r>
          </w:p>
        </w:tc>
        <w:tc>
          <w:tcPr/>
          <w:p>
            <w:pPr>
              <w:pStyle w:val="Compact"/>
              <w:jc w:val="left"/>
            </w:pPr>
            <w:r>
              <w:t xml:space="preserve">$25,116.32</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Tashkent Veterinary Medical Center LLP, a licensed veterinary practice operating in</w:t>
      </w:r>
      <w:r>
        <w:t xml:space="preserve"> </w:t>
      </w:r>
      <w:r>
        <w:t xml:space="preserve">Uzbekistan Tashkent</w:t>
      </w:r>
      <w:r>
        <w:t xml:space="preserve">, and constitutes a binding request for the supply of veterinary goods and equipment as itemized above.</w:t>
      </w:r>
    </w:p>
    <w:p>
      <w:pPr>
        <w:numPr>
          <w:ilvl w:val="0"/>
          <w:numId w:val="1001"/>
        </w:numPr>
        <w:pStyle w:val="Compact"/>
      </w:pPr>
      <w:r>
        <w:t xml:space="preserve">All veterinary medications, biological products, and diagnostic equipment listed in this</w:t>
      </w:r>
      <w:r>
        <w:t xml:space="preserve"> </w:t>
      </w:r>
      <w:r>
        <w:t xml:space="preserve">Purchase Order</w:t>
      </w:r>
      <w:r>
        <w:t xml:space="preserve"> </w:t>
      </w:r>
      <w:r>
        <w:t xml:space="preserve">must comply with the regulatory standards set forth by the Ministry of Agriculture of the Republic of Uzbekistan and the State Veterinary and Phytosanitary Service of Uzbekistan. The supplier shall provide all necessary certificates of origin, veterinary pharmaceutical registration documents, and quality assurance certificates prior to shipment.</w:t>
      </w:r>
    </w:p>
    <w:p>
      <w:pPr>
        <w:numPr>
          <w:ilvl w:val="0"/>
          <w:numId w:val="1001"/>
        </w:numPr>
        <w:pStyle w:val="Compact"/>
      </w:pPr>
      <w:r>
        <w:t xml:space="preserve">Delivery shall be made to the receiving address in</w:t>
      </w:r>
      <w:r>
        <w:t xml:space="preserve"> </w:t>
      </w:r>
      <w:r>
        <w:t xml:space="preserve">Uzbekistan Tashkent</w:t>
      </w:r>
      <w:r>
        <w:t xml:space="preserve"> </w:t>
      </w:r>
      <w:r>
        <w:t xml:space="preserve">no later than 21 calendar days from the date of this</w:t>
      </w:r>
      <w:r>
        <w:t xml:space="preserve"> </w:t>
      </w:r>
      <w:r>
        <w:t xml:space="preserve">Purchase Order</w:t>
      </w:r>
      <w:r>
        <w:t xml:space="preserve">. The supplier is responsible for all customs clearance procedures at the Tashkent International Land Port of Entry and shall bear any demurrage or storage charges arising from delays in documentation.</w:t>
      </w:r>
    </w:p>
    <w:p>
      <w:pPr>
        <w:numPr>
          <w:ilvl w:val="0"/>
          <w:numId w:val="1001"/>
        </w:numPr>
        <w:pStyle w:val="Compact"/>
      </w:pPr>
      <w:r>
        <w:t xml:space="preserve">Payment shall be made via international wire transfer to the supplier's designated bank account within thirty (30) calendar days of the date of confirmed delivery and acceptance of goods by the</w:t>
      </w:r>
      <w:r>
        <w:t xml:space="preserve"> </w:t>
      </w:r>
      <w:r>
        <w:t xml:space="preserve">Veterinarian</w:t>
      </w:r>
      <w:r>
        <w:t xml:space="preserve"> </w:t>
      </w:r>
      <w:r>
        <w:t xml:space="preserve">procurement team at the Tashkent facility. Late payments shall accrue interest at a rate of 1.5% per month.</w:t>
      </w:r>
    </w:p>
    <w:p>
      <w:pPr>
        <w:numPr>
          <w:ilvl w:val="0"/>
          <w:numId w:val="1001"/>
        </w:numPr>
        <w:pStyle w:val="Compact"/>
      </w:pPr>
      <w:r>
        <w:t xml:space="preserve">All veterinary equipment and instruments must carry a minimum manufacturer's warranty of twenty-four (24) months from the date of delivery in</w:t>
      </w:r>
      <w:r>
        <w:t xml:space="preserve"> </w:t>
      </w:r>
      <w:r>
        <w:t xml:space="preserve">Uzbekistan Tashkent</w:t>
      </w:r>
      <w:r>
        <w:t xml:space="preserve">. The supplier shall provide on-site technical support and spare parts availability for a period of five (5) years for capital equipment (items 2, 7, and 9).</w:t>
      </w:r>
    </w:p>
    <w:p>
      <w:pPr>
        <w:numPr>
          <w:ilvl w:val="0"/>
          <w:numId w:val="1001"/>
        </w:numPr>
        <w:pStyle w:val="Compact"/>
      </w:pPr>
      <w:r>
        <w:t xml:space="preserve">The</w:t>
      </w:r>
      <w:r>
        <w:t xml:space="preserve"> </w:t>
      </w:r>
      <w:r>
        <w:t xml:space="preserve">Veterinarian</w:t>
      </w:r>
      <w:r>
        <w:t xml:space="preserve"> </w:t>
      </w:r>
      <w:r>
        <w:t xml:space="preserve">team at Tashkent Veterinary Medical Center LLP reserves the right to inspect and reject any goods that do not conform to the specifications stated in this</w:t>
      </w:r>
      <w:r>
        <w:t xml:space="preserve"> </w:t>
      </w:r>
      <w:r>
        <w:t xml:space="preserve">Purchase Order</w:t>
      </w:r>
      <w:r>
        <w:t xml:space="preserve">, that are damaged in transit, or that lack the required regulatory approvals for use in Uzbekistan. Rejected items must be replaced at the supplier's sole expense within fourteen (14) days.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Uzbekistan. Any disputes arising from or in connection with this</w:t>
      </w:r>
      <w:r>
        <w:t xml:space="preserve"> </w:t>
      </w:r>
      <w:r>
        <w:t xml:space="preserve">Purchase Order</w:t>
      </w:r>
      <w:r>
        <w:t xml:space="preserve"> </w:t>
      </w:r>
      <w:r>
        <w:t xml:space="preserve">shall be resolved through arbitration at the International Arbitration Center of the Tashkent Chamber of Commerce and Industry, located in</w:t>
      </w:r>
      <w:r>
        <w:t xml:space="preserve"> </w:t>
      </w:r>
      <w:r>
        <w:t xml:space="preserve">Uzbekistan Tashkent</w:t>
      </w:r>
      <w:r>
        <w:t xml:space="preserve">. The language of arbitration shall be English.</w:t>
      </w:r>
    </w:p>
    <w:p>
      <w:pPr>
        <w:numPr>
          <w:ilvl w:val="0"/>
          <w:numId w:val="1001"/>
        </w:numPr>
        <w:pStyle w:val="Compact"/>
      </w:pPr>
      <w:r>
        <w:t xml:space="preserve">The supplier acknowledges that all veterinary pharmaceuticals and biological products delivered under this</w:t>
      </w:r>
      <w:r>
        <w:t xml:space="preserve"> </w:t>
      </w:r>
      <w:r>
        <w:t xml:space="preserve">Purchase Order</w:t>
      </w:r>
      <w:r>
        <w:t xml:space="preserve"> </w:t>
      </w:r>
      <w:r>
        <w:t xml:space="preserve">are intended exclusively for use by licensed</w:t>
      </w:r>
      <w:r>
        <w:t xml:space="preserve"> </w:t>
      </w:r>
      <w:r>
        <w:t xml:space="preserve">Veterinarian</w:t>
      </w:r>
      <w:r>
        <w:t xml:space="preserve"> </w:t>
      </w:r>
      <w:r>
        <w:t xml:space="preserve">professionals at the Tashkent Veterinary Medical Center LLP and shall not be resold, redistributed, or used for any purpose other than veterinary care in</w:t>
      </w:r>
      <w:r>
        <w:t xml:space="preserve"> </w:t>
      </w:r>
      <w:r>
        <w:t xml:space="preserve">Uzbekistan Tashkent</w:t>
      </w:r>
      <w:r>
        <w:t xml:space="preserve">.</w:t>
      </w:r>
    </w:p>
    <w:p>
      <w:pPr>
        <w:numPr>
          <w:ilvl w:val="0"/>
          <w:numId w:val="1001"/>
        </w:numPr>
        <w:pStyle w:val="Compact"/>
      </w:pPr>
      <w:r>
        <w:t xml:space="preserve">Force majeure events, including but not limited to natural disasters, government sanctions, or cross-border trade restrictions affecting the Central Asian region, shall relieve the affected party from performance obligations for the duration of such event, provided written notice is given within five (5) business days.</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until all obligations herein are fully discharged. Amendments to this</w:t>
      </w:r>
      <w:r>
        <w:t xml:space="preserve"> </w:t>
      </w:r>
      <w:r>
        <w:t xml:space="preserve">Purchase Order</w:t>
      </w:r>
      <w:r>
        <w:t xml:space="preserve"> </w:t>
      </w:r>
      <w:r>
        <w:t xml:space="preserve">must be made in writing and signed by authorized representatives of both the supplier and the</w:t>
      </w:r>
      <w:r>
        <w:t xml:space="preserve"> </w:t>
      </w:r>
      <w:r>
        <w:t xml:space="preserve">Veterinarian</w:t>
      </w:r>
      <w:r>
        <w:t xml:space="preserve"> </w:t>
      </w:r>
      <w:r>
        <w:t xml:space="preserve">buyer entity in</w:t>
      </w:r>
      <w:r>
        <w:t xml:space="preserve"> </w:t>
      </w:r>
      <w:r>
        <w:t xml:space="preserve">Uzbekistan Tashkent</w:t>
      </w:r>
      <w:r>
        <w:t xml:space="preserve">.</w:t>
      </w:r>
    </w:p>
    <w:p>
      <w:pPr>
        <w:pStyle w:val="FirstParagraph"/>
      </w:pPr>
      <w:r>
        <w:rPr>
          <w:bCs/>
          <w:b/>
        </w:rPr>
        <w:t xml:space="preserve">For and on behalf of the Buyer:</w:t>
      </w:r>
    </w:p>
    <w:p>
      <w:pPr>
        <w:pStyle w:val="BodyText"/>
      </w:pPr>
      <w:r>
        <w:t xml:space="preserve">Tashkent Veterinary Medical Center LLP</w:t>
      </w:r>
    </w:p>
    <w:p>
      <w:pPr>
        <w:pStyle w:val="BodyText"/>
      </w:pPr>
      <w:r>
        <w:t xml:space="preserve">Dr. Aziz Karimov</w:t>
      </w:r>
      <w:r>
        <w:br/>
      </w:r>
      <w:r>
        <w:t xml:space="preserve">Lead Veterinarian / Procurement Head</w:t>
      </w:r>
      <w:r>
        <w:br/>
      </w:r>
      <w:r>
        <w:t xml:space="preserve">Date: _______________</w:t>
      </w:r>
    </w:p>
    <w:p>
      <w:pPr>
        <w:pStyle w:val="BodyText"/>
      </w:pPr>
      <w:r>
        <w:rPr>
          <w:bCs/>
          <w:b/>
        </w:rPr>
        <w:t xml:space="preserve">For and on behalf of the Supplier:</w:t>
      </w:r>
    </w:p>
    <w:p>
      <w:pPr>
        <w:pStyle w:val="BodyText"/>
      </w:pPr>
      <w:r>
        <w:t xml:space="preserve">MedVet International Supply Co. Ltd.</w:t>
      </w:r>
    </w:p>
    <w:p>
      <w:pPr>
        <w:pStyle w:val="BodyText"/>
      </w:pPr>
      <w:r>
        <w:t xml:space="preserve">Ms. Elena Volkova</w:t>
      </w:r>
      <w:r>
        <w:br/>
      </w:r>
      <w:r>
        <w:t xml:space="preserve">Regional Sales Manager, Central Asia</w:t>
      </w:r>
      <w:r>
        <w:br/>
      </w:r>
      <w:r>
        <w:t xml:space="preserve">Date: _______________</w:t>
      </w:r>
    </w:p>
    <w:p>
      <w:pPr>
        <w:pStyle w:val="BodyText"/>
      </w:pPr>
      <w:r>
        <w:t xml:space="preserve">This</w:t>
      </w:r>
      <w:r>
        <w:t xml:space="preserve"> </w:t>
      </w:r>
      <w:r>
        <w:t xml:space="preserve">Purchase Order</w:t>
      </w:r>
      <w:r>
        <w:t xml:space="preserve"> </w:t>
      </w:r>
      <w:r>
        <w:t xml:space="preserve">(No. PO-TVMC-2025-0347) was prepared for Tashkent Veterinary Medical Center LLP, a registered veterinary practice in</w:t>
      </w:r>
      <w:r>
        <w:t xml:space="preserve"> </w:t>
      </w:r>
      <w:r>
        <w:t xml:space="preserve">Uzbekistan Tashkent</w:t>
      </w:r>
      <w:r>
        <w:t xml:space="preserve">. All veterinary products and services referenced herein are subject to the regulatory oversight of the State Veterinary and Phytosanitary Service of the Republic of Uzbekistan. This document is valid only when bearing the official company seal and authorized signatures of both parties.</w:t>
      </w:r>
    </w:p>
    <w:p>
      <w:pPr>
        <w:pStyle w:val="BodyText"/>
      </w:pPr>
      <w:r>
        <w:t xml:space="preserve">Document generated: 15 June 2025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Tashkent, Uzbekistan</dc:title>
  <dc:creator/>
  <dc:language>en</dc:language>
  <cp:keywords/>
  <dcterms:created xsi:type="dcterms:W3CDTF">2026-10-10T01:59:20Z</dcterms:created>
  <dcterms:modified xsi:type="dcterms:W3CDTF">2026-10-10T01:59:20Z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