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PO-2025-FRA-00472</w:t>
      </w:r>
    </w:p>
    <w:p>
      <w:pPr>
        <w:pStyle w:val="BodyText"/>
      </w:pPr>
      <w:r>
        <w:rPr>
          <w:bCs/>
          <w:b/>
        </w:rPr>
        <w:t xml:space="preserve">Date of Issue:</w:t>
      </w:r>
      <w:r>
        <w:t xml:space="preserve"> </w:t>
      </w:r>
      <w:r>
        <w:t xml:space="preserve">14 June 2025</w:t>
      </w:r>
    </w:p>
    <w:p>
      <w:pPr>
        <w:pStyle w:val="BodyText"/>
      </w:pPr>
      <w:r>
        <w:rPr>
          <w:bCs/>
          <w:b/>
        </w:rPr>
        <w:t xml:space="preserve">Place of Business:</w:t>
      </w:r>
      <w:r>
        <w:t xml:space="preserve"> </w:t>
      </w:r>
      <w:r>
        <w:t xml:space="preserve">Germany Frankfurt, Mainzer Landstraße 127, 60329 Frankfurt am Main</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 from invoice date</w:t>
      </w:r>
    </w:p>
    <w:bookmarkEnd w:id="20"/>
    <w:bookmarkStart w:id="23" w:name="parties-to-this-purchase-order"/>
    <w:p>
      <w:pPr>
        <w:pStyle w:val="Heading2"/>
      </w:pPr>
      <w:r>
        <w:t xml:space="preserve">1. Parties to This Purchase Order</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Rhein-Main Digital Solutions GmbH</w:t>
      </w:r>
    </w:p>
    <w:p>
      <w:pPr>
        <w:pStyle w:val="BodyText"/>
      </w:pPr>
      <w:r>
        <w:rPr>
          <w:bCs/>
          <w:b/>
        </w:rPr>
        <w:t xml:space="preserve">Address:</w:t>
      </w:r>
      <w:r>
        <w:t xml:space="preserve"> </w:t>
      </w:r>
      <w:r>
        <w:t xml:space="preserve">Mainzer Landstraße 127, 60329 Frankfurt am Main, Germany Frankfurt</w:t>
      </w:r>
    </w:p>
    <w:p>
      <w:pPr>
        <w:pStyle w:val="BodyText"/>
      </w:pPr>
      <w:r>
        <w:rPr>
          <w:bCs/>
          <w:b/>
        </w:rPr>
        <w:t xml:space="preserve">USt-IdNr. (VAT ID):</w:t>
      </w:r>
      <w:r>
        <w:t xml:space="preserve"> </w:t>
      </w:r>
      <w:r>
        <w:t xml:space="preserve">DE 318 456 721</w:t>
      </w:r>
    </w:p>
    <w:p>
      <w:pPr>
        <w:pStyle w:val="BodyText"/>
      </w:pPr>
      <w:r>
        <w:rPr>
          <w:bCs/>
          <w:b/>
        </w:rPr>
        <w:t xml:space="preserve">HRB:</w:t>
      </w:r>
      <w:r>
        <w:t xml:space="preserve"> </w:t>
      </w:r>
      <w:r>
        <w:t xml:space="preserve">Frankfurt am Main HRB 98765</w:t>
      </w:r>
    </w:p>
    <w:p>
      <w:pPr>
        <w:pStyle w:val="BodyText"/>
      </w:pPr>
      <w:r>
        <w:rPr>
          <w:bCs/>
          <w:b/>
        </w:rPr>
        <w:t xml:space="preserve">Contact:</w:t>
      </w:r>
      <w:r>
        <w:t xml:space="preserve"> </w:t>
      </w:r>
      <w:r>
        <w:t xml:space="preserve">Dr. Markus Weber, Procurement Director</w:t>
      </w:r>
    </w:p>
    <w:p>
      <w:pPr>
        <w:pStyle w:val="BodyText"/>
      </w:pPr>
      <w:r>
        <w:rPr>
          <w:bCs/>
          <w:b/>
        </w:rPr>
        <w:t xml:space="preserve">Email:</w:t>
      </w:r>
      <w:r>
        <w:t xml:space="preserve"> </w:t>
      </w:r>
      <w:r>
        <w:t xml:space="preserve">procurement@rheinmain-digital.de</w:t>
      </w:r>
    </w:p>
    <w:p>
      <w:pPr>
        <w:pStyle w:val="BodyText"/>
      </w:pPr>
      <w:r>
        <w:rPr>
          <w:bCs/>
          <w:b/>
        </w:rPr>
        <w:t xml:space="preserve">Phone:</w:t>
      </w:r>
      <w:r>
        <w:t xml:space="preserve"> </w:t>
      </w:r>
      <w:r>
        <w:t xml:space="preserve">+49 69 4455 8800</w:t>
      </w:r>
    </w:p>
    <w:bookmarkEnd w:id="21"/>
    <w:bookmarkStart w:id="22" w:name="supplier-web-designer"/>
    <w:p>
      <w:pPr>
        <w:pStyle w:val="Heading3"/>
      </w:pPr>
      <w:r>
        <w:t xml:space="preserve">Supplier (Web Designer)</w:t>
      </w:r>
    </w:p>
    <w:p>
      <w:pPr>
        <w:pStyle w:val="FirstParagraph"/>
      </w:pPr>
      <w:r>
        <w:rPr>
          <w:bCs/>
          <w:b/>
        </w:rPr>
        <w:t xml:space="preserve">Company:</w:t>
      </w:r>
      <w:r>
        <w:t xml:space="preserve"> </w:t>
      </w:r>
      <w:r>
        <w:t xml:space="preserve">PixelCraft Studio UG (haftungsbeschränkt)</w:t>
      </w:r>
    </w:p>
    <w:p>
      <w:pPr>
        <w:pStyle w:val="BodyText"/>
      </w:pPr>
      <w:r>
        <w:rPr>
          <w:bCs/>
          <w:b/>
        </w:rPr>
        <w:t xml:space="preserve">Address:</w:t>
      </w:r>
      <w:r>
        <w:t xml:space="preserve"> </w:t>
      </w:r>
      <w:r>
        <w:t xml:space="preserve">Zeil 42, 60313 Frankfurt am Main, Germany Frankfurt</w:t>
      </w:r>
    </w:p>
    <w:p>
      <w:pPr>
        <w:pStyle w:val="BodyText"/>
      </w:pPr>
      <w:r>
        <w:rPr>
          <w:bCs/>
          <w:b/>
        </w:rPr>
        <w:t xml:space="preserve">USt-IdNr. (VAT ID):</w:t>
      </w:r>
      <w:r>
        <w:t xml:space="preserve"> </w:t>
      </w:r>
      <w:r>
        <w:t xml:space="preserve">DE 321 789 456</w:t>
      </w:r>
    </w:p>
    <w:p>
      <w:pPr>
        <w:pStyle w:val="BodyText"/>
      </w:pPr>
      <w:r>
        <w:rPr>
          <w:bCs/>
          <w:b/>
        </w:rPr>
        <w:t xml:space="preserve">HRB:</w:t>
      </w:r>
      <w:r>
        <w:t xml:space="preserve"> </w:t>
      </w:r>
      <w:r>
        <w:t xml:space="preserve">Frankfurt am Main HRB 112345</w:t>
      </w:r>
    </w:p>
    <w:p>
      <w:pPr>
        <w:pStyle w:val="BodyText"/>
      </w:pPr>
      <w:r>
        <w:rPr>
          <w:bCs/>
          <w:b/>
        </w:rPr>
        <w:t xml:space="preserve">Contact:</w:t>
      </w:r>
      <w:r>
        <w:t xml:space="preserve"> </w:t>
      </w:r>
      <w:r>
        <w:t xml:space="preserve">Sarah Lindner, Lead Web Designer &amp; Managing Director</w:t>
      </w:r>
    </w:p>
    <w:p>
      <w:pPr>
        <w:pStyle w:val="BodyText"/>
      </w:pPr>
      <w:r>
        <w:rPr>
          <w:bCs/>
          <w:b/>
        </w:rPr>
        <w:t xml:space="preserve">Email:</w:t>
      </w:r>
      <w:r>
        <w:t xml:space="preserve"> </w:t>
      </w:r>
      <w:r>
        <w:t xml:space="preserve">s.lindner@pixelcraft-studio.de</w:t>
      </w:r>
    </w:p>
    <w:p>
      <w:pPr>
        <w:pStyle w:val="BodyText"/>
      </w:pPr>
      <w:r>
        <w:rPr>
          <w:bCs/>
          <w:b/>
        </w:rPr>
        <w:t xml:space="preserve">Phone:</w:t>
      </w:r>
      <w:r>
        <w:t xml:space="preserve"> </w:t>
      </w:r>
      <w:r>
        <w:t xml:space="preserve">+49 69 2233 7700</w:t>
      </w:r>
    </w:p>
    <w:bookmarkEnd w:id="22"/>
    <w:bookmarkEnd w:id="23"/>
    <w:bookmarkStart w:id="24" w:name="Xb836950b761a70c2da3168295894cacd29c042e"/>
    <w:p>
      <w:pPr>
        <w:pStyle w:val="Heading2"/>
      </w:pPr>
      <w:r>
        <w:t xml:space="preserve">2. Scope of Services – Web Designer Engagement</w:t>
      </w:r>
    </w:p>
    <w:p>
      <w:pPr>
        <w:pStyle w:val="FirstParagraph"/>
      </w:pPr>
      <w:r>
        <w:t xml:space="preserve">This Purchase Order is issued by Rhein-Main Digital Solutions GmbH to formally engage the services of PixelCraft Studio UG, a specialized</w:t>
      </w:r>
      <w:r>
        <w:t xml:space="preserve"> </w:t>
      </w:r>
      <w:r>
        <w:t xml:space="preserve">Web Designer</w:t>
      </w:r>
      <w:r>
        <w:t xml:space="preserve"> </w:t>
      </w:r>
      <w:r>
        <w:t xml:space="preserve">firm based in Germany Frankfurt, for the design, development, and ongoing maintenance of corporate web properties. The</w:t>
      </w:r>
      <w:r>
        <w:t xml:space="preserve"> </w:t>
      </w:r>
      <w:r>
        <w:t xml:space="preserve">Web Designer</w:t>
      </w:r>
      <w:r>
        <w:t xml:space="preserve"> </w:t>
      </w:r>
      <w:r>
        <w:t xml:space="preserve">shall deliver all services in accordance with the specifications outlined in this Purchase Order and the attached Statement of Work (SOW-2025-FRA-00472-A). All work shall be performed in compliance with applicable German and European Union regulations, including but not limited to the GDPR (DSGVO), the German Telemedia Act (TMG), and the Accessibility Requirements (BITV 2.0).</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UX/UI Design – Corporate Website Redesign (Germany Frankfurt HQ portal, 25+ pages, responsive, multilingual DE/EN/FR)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Front-End Development – HTML5, CSS3, JavaScript (ES6+), CMS Integration (TYPO3)</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E-Commerce Module Development – Product catalog, shopping cart, payment gateway integration (PayPal, SEPA, credit card)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04</w:t>
            </w:r>
          </w:p>
        </w:tc>
        <w:tc>
          <w:tcPr/>
          <w:p>
            <w:pPr>
              <w:pStyle w:val="Compact"/>
              <w:jc w:val="left"/>
            </w:pPr>
            <w:r>
              <w:t xml:space="preserve">SEO Optimization &amp; Performance Tuning – Core Web Vitals compliance, structured data, local SEO for Germany Frankfurt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Accessibility Audit &amp; Remediation – WCAG 2.1 AA compliance, screen reader testing, contrast ratio verification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Monthly Maintenance &amp; Support – Bug fixes, content updates, security patches, uptime monitoring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07</w:t>
            </w:r>
          </w:p>
        </w:tc>
        <w:tc>
          <w:tcPr/>
          <w:p>
            <w:pPr>
              <w:pStyle w:val="Compact"/>
              <w:jc w:val="left"/>
            </w:pPr>
            <w:r>
              <w:t xml:space="preserve">Design System Documentation &amp; Handover – Component library, style guide, developer documentation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(excl. VAT):</w:t>
            </w:r>
          </w:p>
        </w:tc>
        <w:tc>
          <w:tcPr/>
          <w:p>
            <w:pPr>
              <w:pStyle w:val="Compact"/>
              <w:jc w:val="left"/>
            </w:pPr>
            <w:r>
              <w:t xml:space="preserve">87,250.00</w:t>
            </w:r>
          </w:p>
        </w:tc>
      </w:tr>
      <w:tr>
        <w:tc>
          <w:tcPr>
            <w:gridSpan w:val="5"/>
          </w:tcPr>
          <w:p>
            <w:pPr>
              <w:pStyle w:val="Compact"/>
              <w:jc w:val="right"/>
            </w:pPr>
            <w:r>
              <w:t xml:space="preserve">VAT (19% – USt):</w:t>
            </w:r>
          </w:p>
        </w:tc>
        <w:tc>
          <w:tcPr/>
          <w:p>
            <w:pPr>
              <w:pStyle w:val="Compact"/>
              <w:jc w:val="left"/>
            </w:pPr>
            <w:r>
              <w:t xml:space="preserve">16,577.50</w:t>
            </w:r>
          </w:p>
        </w:tc>
      </w:tr>
      <w:tr>
        <w:tc>
          <w:tcPr>
            <w:gridSpan w:val="5"/>
          </w:tcPr>
          <w:p>
            <w:pPr>
              <w:pStyle w:val="Compact"/>
              <w:jc w:val="right"/>
            </w:pPr>
            <w:r>
              <w:t xml:space="preserve">Grand Total (incl. VAT):</w:t>
            </w:r>
          </w:p>
        </w:tc>
        <w:tc>
          <w:tcPr/>
          <w:p>
            <w:pPr>
              <w:pStyle w:val="Compact"/>
              <w:jc w:val="left"/>
            </w:pPr>
            <w:r>
              <w:t xml:space="preserve">103,827.50</w:t>
            </w:r>
          </w:p>
        </w:tc>
      </w:tr>
    </w:tbl>
    <w:bookmarkEnd w:id="25"/>
    <w:bookmarkStart w:id="26"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c>
          <w:tcPr/>
          <w:p>
            <w:pPr>
              <w:pStyle w:val="Compact"/>
              <w:jc w:val="left"/>
            </w:pPr>
            <w:r>
              <w:t xml:space="preserve">Acceptance Criteria</w:t>
            </w:r>
          </w:p>
        </w:tc>
      </w:tr>
      <w:tr>
        <w:tc>
          <w:tcPr/>
          <w:p>
            <w:pPr>
              <w:pStyle w:val="Compact"/>
              <w:jc w:val="left"/>
            </w:pPr>
            <w:r>
              <w:t xml:space="preserve">M1</w:t>
            </w:r>
          </w:p>
        </w:tc>
        <w:tc>
          <w:tcPr/>
          <w:p>
            <w:pPr>
              <w:pStyle w:val="Compact"/>
              <w:jc w:val="left"/>
            </w:pPr>
            <w:r>
              <w:t xml:space="preserve">Wireframes &amp; UX Prototype delivered for review</w:t>
            </w:r>
          </w:p>
        </w:tc>
        <w:tc>
          <w:tcPr/>
          <w:p>
            <w:pPr>
              <w:pStyle w:val="Compact"/>
              <w:jc w:val="left"/>
            </w:pPr>
            <w:r>
              <w:t xml:space="preserve">15 July 2025</w:t>
            </w:r>
          </w:p>
        </w:tc>
        <w:tc>
          <w:tcPr/>
          <w:p>
            <w:pPr>
              <w:pStyle w:val="Compact"/>
              <w:jc w:val="left"/>
            </w:pPr>
            <w:r>
              <w:t xml:space="preserve">Buyer sign-off on layout structure</w:t>
            </w:r>
          </w:p>
        </w:tc>
      </w:tr>
      <w:tr>
        <w:tc>
          <w:tcPr/>
          <w:p>
            <w:pPr>
              <w:pStyle w:val="Compact"/>
              <w:jc w:val="left"/>
            </w:pPr>
            <w:r>
              <w:t xml:space="preserve">M2</w:t>
            </w:r>
          </w:p>
        </w:tc>
        <w:tc>
          <w:tcPr/>
          <w:p>
            <w:pPr>
              <w:pStyle w:val="Compact"/>
              <w:jc w:val="left"/>
            </w:pPr>
            <w:r>
              <w:t xml:space="preserve">High-fidelity UI Design &amp; Design System</w:t>
            </w:r>
          </w:p>
        </w:tc>
        <w:tc>
          <w:tcPr/>
          <w:p>
            <w:pPr>
              <w:pStyle w:val="Compact"/>
              <w:jc w:val="left"/>
            </w:pPr>
            <w:r>
              <w:t xml:space="preserve">15 August 2025</w:t>
            </w:r>
          </w:p>
        </w:tc>
        <w:tc>
          <w:tcPr/>
          <w:p>
            <w:pPr>
              <w:pStyle w:val="Compact"/>
              <w:jc w:val="left"/>
            </w:pPr>
            <w:r>
              <w:t xml:space="preserve">Approval of visual identity, color palette, typography</w:t>
            </w:r>
          </w:p>
        </w:tc>
      </w:tr>
      <w:tr>
        <w:tc>
          <w:tcPr/>
          <w:p>
            <w:pPr>
              <w:pStyle w:val="Compact"/>
              <w:jc w:val="left"/>
            </w:pPr>
            <w:r>
              <w:t xml:space="preserve">M3</w:t>
            </w:r>
          </w:p>
        </w:tc>
        <w:tc>
          <w:tcPr/>
          <w:p>
            <w:pPr>
              <w:pStyle w:val="Compact"/>
              <w:jc w:val="left"/>
            </w:pPr>
            <w:r>
              <w:t xml:space="preserve">Full Front-End &amp; CMS Development Complete</w:t>
            </w:r>
          </w:p>
        </w:tc>
        <w:tc>
          <w:tcPr/>
          <w:p>
            <w:pPr>
              <w:pStyle w:val="Compact"/>
              <w:jc w:val="left"/>
            </w:pPr>
            <w:r>
              <w:t xml:space="preserve">30 September 2025</w:t>
            </w:r>
          </w:p>
        </w:tc>
        <w:tc>
          <w:tcPr/>
          <w:p>
            <w:pPr>
              <w:pStyle w:val="Compact"/>
              <w:jc w:val="left"/>
            </w:pPr>
            <w:r>
              <w:t xml:space="preserve">Functional testing on staging environment</w:t>
            </w:r>
          </w:p>
        </w:tc>
      </w:tr>
      <w:tr>
        <w:tc>
          <w:tcPr/>
          <w:p>
            <w:pPr>
              <w:pStyle w:val="Compact"/>
              <w:jc w:val="left"/>
            </w:pPr>
            <w:r>
              <w:t xml:space="preserve">M4</w:t>
            </w:r>
          </w:p>
        </w:tc>
        <w:tc>
          <w:tcPr/>
          <w:p>
            <w:pPr>
              <w:pStyle w:val="Compact"/>
              <w:jc w:val="left"/>
            </w:pPr>
            <w:r>
              <w:t xml:space="preserve">E-Commerce Module &amp; Payment Integration</w:t>
            </w:r>
          </w:p>
        </w:tc>
        <w:tc>
          <w:tcPr/>
          <w:p>
            <w:pPr>
              <w:pStyle w:val="Compact"/>
              <w:jc w:val="left"/>
            </w:pPr>
            <w:r>
              <w:t xml:space="preserve">31 October 2025</w:t>
            </w:r>
          </w:p>
        </w:tc>
        <w:tc>
          <w:tcPr/>
          <w:p>
            <w:pPr>
              <w:pStyle w:val="Compact"/>
              <w:jc w:val="left"/>
            </w:pPr>
            <w:r>
              <w:t xml:space="preserve">End-to-end transaction testing</w:t>
            </w:r>
          </w:p>
        </w:tc>
      </w:tr>
      <w:tr>
        <w:tc>
          <w:tcPr/>
          <w:p>
            <w:pPr>
              <w:pStyle w:val="Compact"/>
              <w:jc w:val="left"/>
            </w:pPr>
            <w:r>
              <w:t xml:space="preserve">M5</w:t>
            </w:r>
          </w:p>
        </w:tc>
        <w:tc>
          <w:tcPr/>
          <w:p>
            <w:pPr>
              <w:pStyle w:val="Compact"/>
              <w:jc w:val="left"/>
            </w:pPr>
            <w:r>
              <w:t xml:space="preserve">SEO, Accessibility &amp; Performance Optimization</w:t>
            </w:r>
          </w:p>
        </w:tc>
        <w:tc>
          <w:tcPr/>
          <w:p>
            <w:pPr>
              <w:pStyle w:val="Compact"/>
              <w:jc w:val="left"/>
            </w:pPr>
            <w:r>
              <w:t xml:space="preserve">15 November 2025</w:t>
            </w:r>
          </w:p>
        </w:tc>
        <w:tc>
          <w:tcPr/>
          <w:p>
            <w:pPr>
              <w:pStyle w:val="Compact"/>
              <w:jc w:val="left"/>
            </w:pPr>
            <w:r>
              <w:t xml:space="preserve">Lighthouse score ≥ 90, WCAG AA pass</w:t>
            </w:r>
          </w:p>
        </w:tc>
      </w:tr>
      <w:tr>
        <w:tc>
          <w:tcPr/>
          <w:p>
            <w:pPr>
              <w:pStyle w:val="Compact"/>
              <w:jc w:val="left"/>
            </w:pPr>
            <w:r>
              <w:t xml:space="preserve">M6</w:t>
            </w:r>
          </w:p>
        </w:tc>
        <w:tc>
          <w:tcPr/>
          <w:p>
            <w:pPr>
              <w:pStyle w:val="Compact"/>
              <w:jc w:val="left"/>
            </w:pPr>
            <w:r>
              <w:t xml:space="preserve">Production Launch &amp; Handover</w:t>
            </w:r>
          </w:p>
        </w:tc>
        <w:tc>
          <w:tcPr/>
          <w:p>
            <w:pPr>
              <w:pStyle w:val="Compact"/>
              <w:jc w:val="left"/>
            </w:pPr>
            <w:r>
              <w:t xml:space="preserve">30 November 2025</w:t>
            </w:r>
          </w:p>
        </w:tc>
        <w:tc>
          <w:tcPr/>
          <w:p>
            <w:pPr>
              <w:pStyle w:val="Compact"/>
              <w:jc w:val="left"/>
            </w:pPr>
            <w:r>
              <w:t xml:space="preserve">Go-live confirmation, documentation transfer</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The exclusive place of jurisdiction for any disputes arising from this Purchase Order shall be Frankfurt am Main, Germany Frankfurt, in accordance with § 29 ZPO.</w:t>
      </w:r>
    </w:p>
    <w:p>
      <w:pPr>
        <w:numPr>
          <w:ilvl w:val="0"/>
          <w:numId w:val="1001"/>
        </w:numPr>
        <w:pStyle w:val="Compact"/>
      </w:pPr>
      <w:r>
        <w:rPr>
          <w:bCs/>
          <w:b/>
        </w:rPr>
        <w:t xml:space="preserve">Intellectual Property:</w:t>
      </w:r>
      <w:r>
        <w:t xml:space="preserve"> </w:t>
      </w:r>
      <w:r>
        <w:t xml:space="preserve">Upon full payment, all intellectual property rights, including but not limited to design files, source code, and documentation created by the</w:t>
      </w:r>
      <w:r>
        <w:t xml:space="preserve"> </w:t>
      </w:r>
      <w:r>
        <w:t xml:space="preserve">Web Designer</w:t>
      </w:r>
      <w:r>
        <w:t xml:space="preserve"> </w:t>
      </w:r>
      <w:r>
        <w:t xml:space="preserve">in the course of fulfilling this Purchase Order, shall be transferred irrevocably to the Buyer. The</w:t>
      </w:r>
      <w:r>
        <w:t xml:space="preserve"> </w:t>
      </w:r>
      <w:r>
        <w:t xml:space="preserve">Web Designer</w:t>
      </w:r>
      <w:r>
        <w:t xml:space="preserve"> </w:t>
      </w:r>
      <w:r>
        <w:t xml:space="preserve">retains the right to display the completed work in their professional portfolio, subject to the Buyer's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 Purchase Order. This obligation shall survive the termination of this agreement for a period of three (3) years.</w:t>
      </w:r>
    </w:p>
    <w:p>
      <w:pPr>
        <w:numPr>
          <w:ilvl w:val="0"/>
          <w:numId w:val="1001"/>
        </w:numPr>
        <w:pStyle w:val="Compact"/>
      </w:pPr>
      <w:r>
        <w:rPr>
          <w:bCs/>
          <w:b/>
        </w:rPr>
        <w:t xml:space="preserve">Payment:</w:t>
      </w:r>
      <w:r>
        <w:t xml:space="preserve"> </w:t>
      </w:r>
      <w:r>
        <w:t xml:space="preserve">Invoices shall be issued per milestone upon successful acceptance. Payment shall be made via SEPA bank transfer to the account specified by the</w:t>
      </w:r>
      <w:r>
        <w:t xml:space="preserve"> </w:t>
      </w:r>
      <w:r>
        <w:t xml:space="preserve">Web Designer</w:t>
      </w:r>
      <w:r>
        <w:t xml:space="preserve"> </w:t>
      </w:r>
      <w:r>
        <w:t xml:space="preserve">within thirty (30) calendar days of the invoice date. Late payments shall incur interest at the statutory rate pursuant to § 288 BGB.</w:t>
      </w:r>
    </w:p>
    <w:p>
      <w:pPr>
        <w:numPr>
          <w:ilvl w:val="0"/>
          <w:numId w:val="1001"/>
        </w:numPr>
        <w:pStyle w:val="Compact"/>
      </w:pPr>
      <w:r>
        <w:rPr>
          <w:bCs/>
          <w:b/>
        </w:rPr>
        <w:t xml:space="preserve">Warranty:</w:t>
      </w:r>
      <w:r>
        <w:t xml:space="preserve"> </w:t>
      </w:r>
      <w:r>
        <w:t xml:space="preserve">The</w:t>
      </w:r>
      <w:r>
        <w:t xml:space="preserve"> </w:t>
      </w:r>
      <w:r>
        <w:t xml:space="preserve">Web Designer</w:t>
      </w:r>
      <w:r>
        <w:t xml:space="preserve"> </w:t>
      </w:r>
      <w:r>
        <w:t xml:space="preserve">warrants that all deliverables shall be free from material defects for a period of twelve (12) months from the date of final acceptance. Any defects identified within this warranty period shall be remedied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the event of termination, the Buyer shall pay for all services rendered and milestones accepted up to the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war, or government-imposed restrictions affecting operations in Germany Frankfurt or elsewhere.</w:t>
      </w:r>
    </w:p>
    <w:p>
      <w:pPr>
        <w:numPr>
          <w:ilvl w:val="0"/>
          <w:numId w:val="1001"/>
        </w:numPr>
        <w:pStyle w:val="Compact"/>
      </w:pPr>
      <w:r>
        <w:rPr>
          <w:bCs/>
          <w:b/>
        </w:rPr>
        <w:t xml:space="preserve">Data Protection:</w:t>
      </w:r>
      <w:r>
        <w:t xml:space="preserve"> </w:t>
      </w:r>
      <w:r>
        <w:t xml:space="preserve">The</w:t>
      </w:r>
      <w:r>
        <w:t xml:space="preserve"> </w:t>
      </w:r>
      <w:r>
        <w:t xml:space="preserve">Web Designer</w:t>
      </w:r>
      <w:r>
        <w:t xml:space="preserve"> </w:t>
      </w:r>
      <w:r>
        <w:t xml:space="preserve">shall process all personal data in strict compliance with the EU General Data Protection Regulation (GDPR/DSGVO) and the German Federal Data Protection Act (BDSG). A Data Processing Agreement (DPA) shall be executed prior to any data processing activities.</w:t>
      </w:r>
    </w:p>
    <w:p>
      <w:pPr>
        <w:numPr>
          <w:ilvl w:val="0"/>
          <w:numId w:val="1001"/>
        </w:numPr>
        <w:pStyle w:val="Compact"/>
      </w:pPr>
      <w:r>
        <w:rPr>
          <w:bCs/>
          <w:b/>
        </w:rPr>
        <w:t xml:space="preserve">Subcontracting:</w:t>
      </w:r>
      <w:r>
        <w:t xml:space="preserve"> </w:t>
      </w:r>
      <w:r>
        <w:t xml:space="preserve">The</w:t>
      </w:r>
      <w:r>
        <w:t xml:space="preserve"> </w:t>
      </w:r>
      <w:r>
        <w:t xml:space="preserve">Web Designer</w:t>
      </w:r>
      <w:r>
        <w:t xml:space="preserve"> </w:t>
      </w:r>
      <w:r>
        <w:t xml:space="preserve">shall not subcontract any portion of the work described in this Purchase Order without the prior written approval of the Buyer.</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This document constitutes a binding agreement for the engagement of the</w:t>
      </w:r>
      <w:r>
        <w:t xml:space="preserve"> </w:t>
      </w:r>
      <w:r>
        <w:t xml:space="preserve">Web Designer</w:t>
      </w:r>
      <w:r>
        <w:t xml:space="preserve"> </w:t>
      </w:r>
      <w:r>
        <w:t xml:space="preserve">services as described herein, with all work to be performed in and for the benefit of the Buyer's operations in Germany Frankfurt.</w:t>
      </w:r>
    </w:p>
    <w:p>
      <w:pPr>
        <w:pStyle w:val="BodyText"/>
      </w:pPr>
      <w:r>
        <w:rPr>
          <w:bCs/>
          <w:b/>
        </w:rPr>
        <w:t xml:space="preserve">For the Buyer:</w:t>
      </w:r>
    </w:p>
    <w:p>
      <w:pPr>
        <w:pStyle w:val="BodyText"/>
      </w:pPr>
      <w:r>
        <w:t xml:space="preserve">Rhein-Main Digital Solutions GmbH</w:t>
      </w:r>
    </w:p>
    <w:p>
      <w:pPr>
        <w:pStyle w:val="BodyText"/>
      </w:pPr>
      <w:r>
        <w:t xml:space="preserve">Name: Dr. Markus Weber</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(Web Designer):</w:t>
      </w:r>
    </w:p>
    <w:p>
      <w:pPr>
        <w:pStyle w:val="BodyText"/>
      </w:pPr>
      <w:r>
        <w:t xml:space="preserve">PixelCraft Studio UG (haftungsbeschränkt)</w:t>
      </w:r>
    </w:p>
    <w:p>
      <w:pPr>
        <w:pStyle w:val="BodyText"/>
      </w:pPr>
      <w:r>
        <w:t xml:space="preserve">Name: Sarah Lindner</w:t>
      </w:r>
    </w:p>
    <w:p>
      <w:pPr>
        <w:pStyle w:val="BodyText"/>
      </w:pPr>
      <w:r>
        <w:t xml:space="preserve">Title: Managing Director / Lead Web Designer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(PO-2025-FRA-00472) was issued by Rhein-Main Digital Solutions GmbH, Germany Frankfurt. All communications regarding this Purchase Order shall be directed to the Procurement Department. This document is valid for a period of thirty (30) days from the date of issue. © 2025 Rhein-Main Digital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Germany Frankfurt</dc:title>
  <dc:creator/>
  <dc:language>en</dc:language>
  <cp:keywords/>
  <dcterms:created xsi:type="dcterms:W3CDTF">2026-10-10T07:28:25Z</dcterms:created>
  <dcterms:modified xsi:type="dcterms:W3CDTF">2026-10-10T07:28:25Z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