
<file path=[Content_Types].xml><?xml version="1.0" encoding="utf-8"?>
<Types xmlns="http://schemas.openxmlformats.org/package/2006/content-types">
  <Default Extension="xml" ContentType="application/xml"/>
  <Default Extension="rels" ContentType="application/vnd.openxmlformats-package.relationships+xml"/>
  <Override PartName="/word/webSettings.xml" ContentType="application/vnd.openxmlformats-officedocument.wordprocessingml.webSetting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fontTable.xml" ContentType="application/vnd.openxmlformats-officedocument.wordprocessingml.fontTable+xml"/>
  <Override PartName="/docProps/app.xml" ContentType="application/vnd.openxmlformats-officedocument.extended-properties+xml"/>
  <Override PartName="/docProps/core.xml" ContentType="application/vnd.openxmlformats-package.core-properties+xml"/>
  <Override PartName="/docProps/custom.xml" ContentType="application/vnd.openxmlformats-officedocument.custom-properties+xml"/>
  <Override PartName="/word/styles.xml" ContentType="application/vnd.openxmlformats-officedocument.wordprocessingml.styles+xml"/>
  <Override PartName="/word/document.xml" ContentType="application/vnd.openxmlformats-officedocument.wordprocessingml.document.main+xml"/>
  <Override PartName="/word/comments.xml" ContentType="application/vnd.openxmlformats-officedocument.wordprocessingml.comments+xml"/>
  <Override PartName="/word/footnotes.xml" ContentType="application/vnd.openxmlformats-officedocument.wordprocessingml.footnotes+xml"/>
</Types>
</file>

<file path=_rels/.rels><?xml version="1.0" encoding="UTF-8"?><Relationships xmlns="http://schemas.openxmlformats.org/package/2006/relationships"><Relationship Id="rId1" Type="http://schemas.openxmlformats.org/officeDocument/2006/relationships/officeDocument" Target="word/document.xml" /><Relationship Id="rId4" Type="http://schemas.openxmlformats.org/officeDocument/2006/relationships/extended-properties" Target="docProps/app.xml" /><Relationship Id="rId3" Type="http://schemas.openxmlformats.org/package/2006/relationships/metadata/core-properties" Target="docProps/core.xml" /><Relationship Id="rId5" Type="http://schemas.openxmlformats.org/officeDocument/2006/relationships/custom-properties" Target="docProps/custom.xml" /></Relationships>
</file>

<file path=word/document.xml><?xml version="1.0" encoding="utf-8"?>
<w:document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body>
    <w:p>
      <w:pPr>
        <w:pStyle w:val="Title"/>
      </w:pPr>
      <w:r>
        <w:t xml:space="preserve">Purchase</w:t>
      </w:r>
      <w:r>
        <w:t xml:space="preserve"> </w:t>
      </w:r>
      <w:r>
        <w:t xml:space="preserve">Order</w:t>
      </w:r>
      <w:r>
        <w:t xml:space="preserve"> </w:t>
      </w:r>
      <w:r>
        <w:t xml:space="preserve">-</w:t>
      </w:r>
      <w:r>
        <w:t xml:space="preserve"> </w:t>
      </w:r>
      <w:r>
        <w:t xml:space="preserve">Welder</w:t>
      </w:r>
      <w:r>
        <w:t xml:space="preserve"> </w:t>
      </w:r>
      <w:r>
        <w:t xml:space="preserve">-</w:t>
      </w:r>
      <w:r>
        <w:t xml:space="preserve"> </w:t>
      </w:r>
      <w:r>
        <w:t xml:space="preserve">Israel</w:t>
      </w:r>
      <w:r>
        <w:t xml:space="preserve"> </w:t>
      </w:r>
      <w:r>
        <w:t xml:space="preserve">Tel</w:t>
      </w:r>
      <w:r>
        <w:t xml:space="preserve"> </w:t>
      </w:r>
      <w:r>
        <w:t xml:space="preserve">Aviv</w:t>
      </w:r>
    </w:p>
    <w:bookmarkStart w:id="20" w:name="purchase-order"/>
    <w:p>
      <w:pPr>
        <w:pStyle w:val="Heading1"/>
      </w:pPr>
      <w:r>
        <w:t xml:space="preserve">PURCHASE ORDER</w:t>
      </w:r>
    </w:p>
    <w:p>
      <w:pPr>
        <w:pStyle w:val="FirstParagraph"/>
      </w:pPr>
      <w:r>
        <w:t xml:space="preserve">PO No. IL-TLV-2025-04871</w:t>
      </w:r>
    </w:p>
    <w:p>
      <w:pPr>
        <w:pStyle w:val="BodyText"/>
      </w:pPr>
      <w:r>
        <w:t xml:space="preserve">Date of Issue: June 12, 2025</w:t>
      </w:r>
    </w:p>
    <w:p>
      <w:pPr>
        <w:pStyle w:val="BodyText"/>
      </w:pPr>
      <w:r>
        <w:t xml:space="preserve">Valid Until: July 12, 2025</w:t>
      </w:r>
    </w:p>
    <w:p>
      <w:pPr>
        <w:pStyle w:val="BodyText"/>
      </w:pPr>
      <w:r>
        <w:t xml:space="preserve">Destination: Israel Tel Aviv</w:t>
      </w:r>
    </w:p>
    <w:bookmarkEnd w:id="20"/>
    <w:bookmarkStart w:id="21" w:name="parties-to-this-purchase-order"/>
    <w:p>
      <w:pPr>
        <w:pStyle w:val="Heading2"/>
      </w:pPr>
      <w:r>
        <w:t xml:space="preserve">1. Parties to This Purchase Order</w:t>
      </w:r>
    </w:p>
    <w:p>
      <w:pPr>
        <w:pStyle w:val="FirstParagraph"/>
      </w:pPr>
      <w:r>
        <w:rPr>
          <w:bCs/>
          <w:b/>
        </w:rPr>
        <w:t xml:space="preserve">Buyer (Purchasing Entity):</w:t>
      </w:r>
    </w:p>
    <w:p>
      <w:pPr>
        <w:pStyle w:val="BodyText"/>
      </w:pPr>
      <w:r>
        <w:t xml:space="preserve">Meridian Industrial Solutions Ltd.</w:t>
      </w:r>
    </w:p>
    <w:p>
      <w:pPr>
        <w:pStyle w:val="BodyText"/>
      </w:pPr>
      <w:r>
        <w:t xml:space="preserve">45 Allenby Street, Tel Aviv-Yafo</w:t>
      </w:r>
    </w:p>
    <w:p>
      <w:pPr>
        <w:pStyle w:val="BodyText"/>
      </w:pPr>
      <w:r>
        <w:t xml:space="preserve">Israel Tel Aviv, 6500101</w:t>
      </w:r>
    </w:p>
    <w:p>
      <w:pPr>
        <w:pStyle w:val="BodyText"/>
      </w:pPr>
      <w:r>
        <w:t xml:space="preserve">VAT No.: 51-804-221-93</w:t>
      </w:r>
    </w:p>
    <w:p>
      <w:pPr>
        <w:pStyle w:val="BodyText"/>
      </w:pPr>
      <w:r>
        <w:t xml:space="preserve">Contact: Mr. David Ben-Ami, Procurement Director</w:t>
      </w:r>
    </w:p>
    <w:p>
      <w:pPr>
        <w:pStyle w:val="BodyText"/>
      </w:pPr>
      <w:r>
        <w:t xml:space="preserve">Email: d.benami@meridian-industrial.co.il</w:t>
      </w:r>
    </w:p>
    <w:p>
      <w:pPr>
        <w:pStyle w:val="BodyText"/>
      </w:pPr>
      <w:r>
        <w:t xml:space="preserve">Phone: +972-3-640-5521</w:t>
      </w:r>
    </w:p>
    <w:p>
      <w:pPr>
        <w:pStyle w:val="BodyText"/>
      </w:pPr>
      <w:r>
        <w:rPr>
          <w:bCs/>
          <w:b/>
        </w:rPr>
        <w:t xml:space="preserve">Supplier (Vendor):</w:t>
      </w:r>
    </w:p>
    <w:p>
      <w:pPr>
        <w:pStyle w:val="BodyText"/>
      </w:pPr>
      <w:r>
        <w:t xml:space="preserve">Global Welding Equipment GmbH</w:t>
      </w:r>
    </w:p>
    <w:p>
      <w:pPr>
        <w:pStyle w:val="BodyText"/>
      </w:pPr>
      <w:r>
        <w:t xml:space="preserve">Industriestraße 112, 40221 Düsseldorf</w:t>
      </w:r>
    </w:p>
    <w:p>
      <w:pPr>
        <w:pStyle w:val="BodyText"/>
      </w:pPr>
      <w:r>
        <w:t xml:space="preserve">Germany</w:t>
      </w:r>
    </w:p>
    <w:p>
      <w:pPr>
        <w:pStyle w:val="BodyText"/>
      </w:pPr>
      <w:r>
        <w:t xml:space="preserve">VAT No.: DE 812 456 789</w:t>
      </w:r>
    </w:p>
    <w:p>
      <w:pPr>
        <w:pStyle w:val="BodyText"/>
      </w:pPr>
      <w:r>
        <w:t xml:space="preserve">Contact: Ms. Katrin Vogel, Export Sales Manager</w:t>
      </w:r>
    </w:p>
    <w:p>
      <w:pPr>
        <w:pStyle w:val="BodyText"/>
      </w:pPr>
      <w:r>
        <w:t xml:space="preserve">Email: k.vogel@globalwelding-eq.de</w:t>
      </w:r>
    </w:p>
    <w:p>
      <w:pPr>
        <w:pStyle w:val="BodyText"/>
      </w:pPr>
      <w:r>
        <w:t xml:space="preserve">Phone: +49-211-883-4402</w:t>
      </w:r>
    </w:p>
    <w:bookmarkEnd w:id="21"/>
    <w:bookmarkStart w:id="22" w:name="description-of-purchase-order-items"/>
    <w:p>
      <w:pPr>
        <w:pStyle w:val="Heading2"/>
      </w:pPr>
      <w:r>
        <w:t xml:space="preserve">2. Description of Purchase Order Items</w:t>
      </w:r>
    </w:p>
    <w:p>
      <w:pPr>
        <w:pStyle w:val="FirstParagraph"/>
      </w:pPr>
      <w:r>
        <w:t xml:space="preserve">This Purchase Order is issued by Meridian Industrial Solutions Ltd. for the procurement of industrial-grade Welder equipment and associated consumables. The Welder units specified herein are intended for deployment at the company's fabrication and construction facility located in Israel Tel Aviv, specifically at the industrial zone on HaYarkon Boulevard. The Welder equipment must comply with all applicable Israeli Standards (SII) and European CE marking requirements for electrical safety and occupational health and safety regulations as enforced by the Israel Ministry of Health and the Israel Occupational Safety, Health and Environment Service (Migdal).</w:t>
      </w:r>
    </w:p>
    <w:tbl>
      <w:tblPr>
        <w:tblStyle w:val="Table"/>
        <w:tblW w:type="auto" w:w="0"/>
        <w:tblLook w:firstRow="1" w:lastRow="0" w:firstColumn="0" w:lastColumn="0" w:noHBand="0" w:noVBand="0" w:val="0020"/>
      </w:tblPr>
      <w:tblGrid>
        <w:gridCol w:w="1320"/>
        <w:gridCol w:w="1320"/>
        <w:gridCol w:w="1320"/>
        <w:gridCol w:w="1320"/>
        <w:gridCol w:w="1320"/>
        <w:gridCol w:w="1320"/>
      </w:tblGrid>
      <w:tr>
        <w:trPr>
          <w:tblHeader w:val="true"/>
        </w:trPr>
        <w:tc>
          <w:tcPr/>
          <w:p>
            <w:pPr>
              <w:pStyle w:val="Compact"/>
              <w:jc w:val="left"/>
            </w:pPr>
            <w:r>
              <w:t xml:space="preserve">Item No.</w:t>
            </w:r>
          </w:p>
        </w:tc>
        <w:tc>
          <w:tcPr/>
          <w:p>
            <w:pPr>
              <w:pStyle w:val="Compact"/>
              <w:jc w:val="left"/>
            </w:pPr>
            <w:r>
              <w:t xml:space="preserve">Description</w:t>
            </w:r>
          </w:p>
        </w:tc>
        <w:tc>
          <w:tcPr/>
          <w:p>
            <w:pPr>
              <w:pStyle w:val="Compact"/>
              <w:jc w:val="left"/>
            </w:pPr>
            <w:r>
              <w:t xml:space="preserve">Specification</w:t>
            </w:r>
          </w:p>
        </w:tc>
        <w:tc>
          <w:tcPr/>
          <w:p>
            <w:pPr>
              <w:pStyle w:val="Compact"/>
              <w:jc w:val="left"/>
            </w:pPr>
            <w:r>
              <w:t xml:space="preserve">Qty</w:t>
            </w:r>
          </w:p>
        </w:tc>
        <w:tc>
          <w:tcPr/>
          <w:p>
            <w:pPr>
              <w:pStyle w:val="Compact"/>
              <w:jc w:val="left"/>
            </w:pPr>
            <w:r>
              <w:t xml:space="preserve">Unit Price (EUR)</w:t>
            </w:r>
          </w:p>
        </w:tc>
        <w:tc>
          <w:tcPr/>
          <w:p>
            <w:pPr>
              <w:pStyle w:val="Compact"/>
              <w:jc w:val="left"/>
            </w:pPr>
            <w:r>
              <w:t xml:space="preserve">Total (EUR)</w:t>
            </w:r>
          </w:p>
        </w:tc>
      </w:tr>
      <w:tr>
        <w:tc>
          <w:tcPr/>
          <w:p>
            <w:pPr>
              <w:pStyle w:val="Compact"/>
              <w:jc w:val="left"/>
            </w:pPr>
            <w:r>
              <w:t xml:space="preserve">01</w:t>
            </w:r>
          </w:p>
        </w:tc>
        <w:tc>
          <w:tcPr/>
          <w:p>
            <w:pPr>
              <w:pStyle w:val="Compact"/>
              <w:jc w:val="left"/>
            </w:pPr>
            <w:r>
              <w:t xml:space="preserve">Industrial MIG/MAG Welder, 400A, 3-Phase</w:t>
            </w:r>
          </w:p>
        </w:tc>
        <w:tc>
          <w:tcPr/>
          <w:p>
            <w:pPr>
              <w:pStyle w:val="Compact"/>
              <w:jc w:val="left"/>
            </w:pPr>
            <w:r>
              <w:t xml:space="preserve">Model GW-400T, 230/400V, IP54, with digital control panel, suitable for continuous operation in Israel Tel Aviv industrial conditions</w:t>
            </w:r>
          </w:p>
        </w:tc>
        <w:tc>
          <w:tcPr/>
          <w:p>
            <w:pPr>
              <w:pStyle w:val="Compact"/>
              <w:jc w:val="left"/>
            </w:pPr>
            <w:r>
              <w:t xml:space="preserve">6</w:t>
            </w:r>
          </w:p>
        </w:tc>
        <w:tc>
          <w:tcPr/>
          <w:p>
            <w:pPr>
              <w:pStyle w:val="Compact"/>
              <w:jc w:val="left"/>
            </w:pPr>
            <w:r>
              <w:t xml:space="preserve">4,850.00</w:t>
            </w:r>
          </w:p>
        </w:tc>
        <w:tc>
          <w:tcPr/>
          <w:p>
            <w:pPr>
              <w:pStyle w:val="Compact"/>
              <w:jc w:val="left"/>
            </w:pPr>
            <w:r>
              <w:t xml:space="preserve">29,100.00</w:t>
            </w:r>
          </w:p>
        </w:tc>
      </w:tr>
      <w:tr>
        <w:tc>
          <w:tcPr/>
          <w:p>
            <w:pPr>
              <w:pStyle w:val="Compact"/>
              <w:jc w:val="left"/>
            </w:pPr>
            <w:r>
              <w:t xml:space="preserve">02</w:t>
            </w:r>
          </w:p>
        </w:tc>
        <w:tc>
          <w:tcPr/>
          <w:p>
            <w:pPr>
              <w:pStyle w:val="Compact"/>
              <w:jc w:val="left"/>
            </w:pPr>
            <w:r>
              <w:t xml:space="preserve">TIG Welder, 250A, AC/DC</w:t>
            </w:r>
          </w:p>
        </w:tc>
        <w:tc>
          <w:tcPr/>
          <w:p>
            <w:pPr>
              <w:pStyle w:val="Compact"/>
              <w:jc w:val="left"/>
            </w:pPr>
            <w:r>
              <w:t xml:space="preserve">Model GW-TIG250, pulse TIG capable, for stainless steel and aluminum fabrication</w:t>
            </w:r>
          </w:p>
        </w:tc>
        <w:tc>
          <w:tcPr/>
          <w:p>
            <w:pPr>
              <w:pStyle w:val="Compact"/>
              <w:jc w:val="left"/>
            </w:pPr>
            <w:r>
              <w:t xml:space="preserve">4</w:t>
            </w:r>
          </w:p>
        </w:tc>
        <w:tc>
          <w:tcPr/>
          <w:p>
            <w:pPr>
              <w:pStyle w:val="Compact"/>
              <w:jc w:val="left"/>
            </w:pPr>
            <w:r>
              <w:t xml:space="preserve">3,200.00</w:t>
            </w:r>
          </w:p>
        </w:tc>
        <w:tc>
          <w:tcPr/>
          <w:p>
            <w:pPr>
              <w:pStyle w:val="Compact"/>
              <w:jc w:val="left"/>
            </w:pPr>
            <w:r>
              <w:t xml:space="preserve">12,800.00</w:t>
            </w:r>
          </w:p>
        </w:tc>
      </w:tr>
      <w:tr>
        <w:tc>
          <w:tcPr/>
          <w:p>
            <w:pPr>
              <w:pStyle w:val="Compact"/>
              <w:jc w:val="left"/>
            </w:pPr>
            <w:r>
              <w:t xml:space="preserve">03</w:t>
            </w:r>
          </w:p>
        </w:tc>
        <w:tc>
          <w:tcPr/>
          <w:p>
            <w:pPr>
              <w:pStyle w:val="Compact"/>
              <w:jc w:val="left"/>
            </w:pPr>
            <w:r>
              <w:t xml:space="preserve">Welding Consumables Kit (Wire, Electrodes, Gas Cylinders)</w:t>
            </w:r>
          </w:p>
        </w:tc>
        <w:tc>
          <w:tcPr/>
          <w:p>
            <w:pPr>
              <w:pStyle w:val="Compact"/>
              <w:jc w:val="left"/>
            </w:pPr>
            <w:r>
              <w:t xml:space="preserve">12-month supply for 10 Welder units, including ER70S-6 wire, E6013 electrodes, and 10 kg CO2/Argon mix cylinders</w:t>
            </w:r>
          </w:p>
        </w:tc>
        <w:tc>
          <w:tcPr/>
          <w:p>
            <w:pPr>
              <w:pStyle w:val="Compact"/>
              <w:jc w:val="left"/>
            </w:pPr>
            <w:r>
              <w:t xml:space="preserve">10</w:t>
            </w:r>
          </w:p>
        </w:tc>
        <w:tc>
          <w:tcPr/>
          <w:p>
            <w:pPr>
              <w:pStyle w:val="Compact"/>
              <w:jc w:val="left"/>
            </w:pPr>
            <w:r>
              <w:t xml:space="preserve">1,450.00</w:t>
            </w:r>
          </w:p>
        </w:tc>
        <w:tc>
          <w:tcPr/>
          <w:p>
            <w:pPr>
              <w:pStyle w:val="Compact"/>
              <w:jc w:val="left"/>
            </w:pPr>
            <w:r>
              <w:t xml:space="preserve">14,500.00</w:t>
            </w:r>
          </w:p>
        </w:tc>
      </w:tr>
      <w:tr>
        <w:tc>
          <w:tcPr/>
          <w:p>
            <w:pPr>
              <w:pStyle w:val="Compact"/>
              <w:jc w:val="left"/>
            </w:pPr>
            <w:r>
              <w:t xml:space="preserve">04</w:t>
            </w:r>
          </w:p>
        </w:tc>
        <w:tc>
          <w:tcPr/>
          <w:p>
            <w:pPr>
              <w:pStyle w:val="Compact"/>
              <w:jc w:val="left"/>
            </w:pPr>
            <w:r>
              <w:t xml:space="preserve">Welding PPE and Safety Equipment (per operator)</w:t>
            </w:r>
          </w:p>
        </w:tc>
        <w:tc>
          <w:tcPr/>
          <w:p>
            <w:pPr>
              <w:pStyle w:val="Compact"/>
              <w:jc w:val="left"/>
            </w:pPr>
            <w:r>
              <w:t xml:space="preserve">Auto-darkening helmets, leather jackets, gloves, safety boots, respiratory protection – compliant with Israel Tel Aviv workplace safety mandates</w:t>
            </w:r>
          </w:p>
        </w:tc>
        <w:tc>
          <w:tcPr/>
          <w:p>
            <w:pPr>
              <w:pStyle w:val="Compact"/>
              <w:jc w:val="left"/>
            </w:pPr>
            <w:r>
              <w:t xml:space="preserve">10</w:t>
            </w:r>
          </w:p>
        </w:tc>
        <w:tc>
          <w:tcPr/>
          <w:p>
            <w:pPr>
              <w:pStyle w:val="Compact"/>
              <w:jc w:val="left"/>
            </w:pPr>
            <w:r>
              <w:t xml:space="preserve">680.00</w:t>
            </w:r>
          </w:p>
        </w:tc>
        <w:tc>
          <w:tcPr/>
          <w:p>
            <w:pPr>
              <w:pStyle w:val="Compact"/>
              <w:jc w:val="left"/>
            </w:pPr>
            <w:r>
              <w:t xml:space="preserve">6,800.00</w:t>
            </w:r>
          </w:p>
        </w:tc>
      </w:tr>
      <w:tr>
        <w:tc>
          <w:tcPr/>
          <w:p>
            <w:pPr>
              <w:pStyle w:val="Compact"/>
              <w:jc w:val="left"/>
            </w:pPr>
            <w:r>
              <w:t xml:space="preserve">05</w:t>
            </w:r>
          </w:p>
        </w:tc>
        <w:tc>
          <w:tcPr/>
          <w:p>
            <w:pPr>
              <w:pStyle w:val="Compact"/>
              <w:jc w:val="left"/>
            </w:pPr>
            <w:r>
              <w:t xml:space="preserve">Welder Maintenance and Calibration Service (Year 1)</w:t>
            </w:r>
          </w:p>
        </w:tc>
        <w:tc>
          <w:tcPr/>
          <w:p>
            <w:pPr>
              <w:pStyle w:val="Compact"/>
              <w:jc w:val="left"/>
            </w:pPr>
            <w:r>
              <w:t xml:space="preserve">On-site service in Israel Tel Aviv, quarterly visits, parts replacement, and full calibration of all Welder units</w:t>
            </w:r>
          </w:p>
        </w:tc>
        <w:tc>
          <w:tcPr/>
          <w:p>
            <w:pPr>
              <w:pStyle w:val="Compact"/>
              <w:jc w:val="left"/>
            </w:pPr>
            <w:r>
              <w:t xml:space="preserve">1</w:t>
            </w:r>
          </w:p>
        </w:tc>
        <w:tc>
          <w:tcPr/>
          <w:p>
            <w:pPr>
              <w:pStyle w:val="Compact"/>
              <w:jc w:val="left"/>
            </w:pPr>
            <w:r>
              <w:t xml:space="preserve">5,200.00</w:t>
            </w:r>
          </w:p>
        </w:tc>
        <w:tc>
          <w:tcPr/>
          <w:p>
            <w:pPr>
              <w:pStyle w:val="Compact"/>
              <w:jc w:val="left"/>
            </w:pPr>
            <w:r>
              <w:t xml:space="preserve">5,200.00</w:t>
            </w:r>
          </w:p>
        </w:tc>
      </w:tr>
      <w:tr>
        <w:tc>
          <w:tcPr>
            <w:gridSpan w:val="5"/>
          </w:tcPr>
          <w:p>
            <w:pPr>
              <w:pStyle w:val="Compact"/>
              <w:jc w:val="left"/>
            </w:pPr>
            <w:r>
              <w:t xml:space="preserve">TOTAL PURCHASE ORDER VALUE (excl. VAT and shipping)</w:t>
            </w:r>
          </w:p>
        </w:tc>
        <w:tc>
          <w:tcPr/>
          <w:p>
            <w:pPr>
              <w:pStyle w:val="Compact"/>
              <w:jc w:val="left"/>
            </w:pPr>
            <w:r>
              <w:t xml:space="preserve">68,400.00</w:t>
            </w:r>
          </w:p>
        </w:tc>
      </w:tr>
    </w:tbl>
    <w:bookmarkEnd w:id="22"/>
    <w:bookmarkStart w:id="23" w:name="delivery-and-logistics"/>
    <w:p>
      <w:pPr>
        <w:pStyle w:val="Heading2"/>
      </w:pPr>
      <w:r>
        <w:t xml:space="preserve">3. Delivery and Logistics</w:t>
      </w:r>
    </w:p>
    <w:p>
      <w:pPr>
        <w:pStyle w:val="FirstParagraph"/>
      </w:pPr>
      <w:r>
        <w:t xml:space="preserve">All items listed in this Purchase Order shall be delivered to the Buyer's facility at 45 Allenby Street, Tel Aviv-Yafo, Israel Tel Aviv. The delivery shall be made Incoterms 2020 DDP (Delivered Duty Paid) to the specified Israel Tel Aviv address. The Supplier is responsible for all international shipping, customs clearance through the Port of Haifa or Ben Gurion Airport, Israeli import duties, and final delivery to the Israel Tel Aviv site. The estimated delivery window is within 30 calendar days from the date of this Purchase Order. The Welder units must be packaged in export-grade wooden crates with adequate shock protection to withstand the maritime and overland transit to Israel Tel Aviv. All shipping documents, including the commercial invoice, packing list, certificate of origin, and CE conformity declaration, must accompany the shipment.</w:t>
      </w:r>
    </w:p>
    <w:bookmarkEnd w:id="23"/>
    <w:bookmarkStart w:id="24" w:name="payment-terms"/>
    <w:p>
      <w:pPr>
        <w:pStyle w:val="Heading2"/>
      </w:pPr>
      <w:r>
        <w:t xml:space="preserve">4. Payment Terms</w:t>
      </w:r>
    </w:p>
    <w:p>
      <w:pPr>
        <w:numPr>
          <w:ilvl w:val="0"/>
          <w:numId w:val="1001"/>
        </w:numPr>
        <w:pStyle w:val="Compact"/>
      </w:pPr>
      <w:r>
        <w:t xml:space="preserve">Payment shall be made in Euros (EUR) via international wire transfer to the Supplier's designated bank account.</w:t>
      </w:r>
    </w:p>
    <w:p>
      <w:pPr>
        <w:numPr>
          <w:ilvl w:val="0"/>
          <w:numId w:val="1001"/>
        </w:numPr>
        <w:pStyle w:val="Compact"/>
      </w:pPr>
      <w:r>
        <w:t xml:space="preserve">40% advance payment (EUR 27,360.00) due within 5 business days of Purchase Order acceptance.</w:t>
      </w:r>
    </w:p>
    <w:p>
      <w:pPr>
        <w:numPr>
          <w:ilvl w:val="0"/>
          <w:numId w:val="1001"/>
        </w:numPr>
        <w:pStyle w:val="Compact"/>
      </w:pPr>
      <w:r>
        <w:t xml:space="preserve">50% balance (EUR 34,200.00) due upon confirmed delivery and acceptance of the Welder equipment at the Israel Tel Aviv site.</w:t>
      </w:r>
    </w:p>
    <w:p>
      <w:pPr>
        <w:numPr>
          <w:ilvl w:val="0"/>
          <w:numId w:val="1001"/>
        </w:numPr>
        <w:pStyle w:val="Compact"/>
      </w:pPr>
      <w:r>
        <w:t xml:space="preserve">10% retention (EUR 6,840.00) payable 60 days after successful completion of the first full operational cycle of the Welder units in Israel Tel Aviv.</w:t>
      </w:r>
    </w:p>
    <w:p>
      <w:pPr>
        <w:numPr>
          <w:ilvl w:val="0"/>
          <w:numId w:val="1001"/>
        </w:numPr>
        <w:pStyle w:val="Compact"/>
      </w:pPr>
      <w:r>
        <w:t xml:space="preserve">Israeli VAT (18%) shall be applied and is the responsibility of the Buyer, to be remitted to the Israel Tax Authority.</w:t>
      </w:r>
    </w:p>
    <w:bookmarkEnd w:id="24"/>
    <w:bookmarkStart w:id="25" w:name="quality-assurance-and-acceptance"/>
    <w:p>
      <w:pPr>
        <w:pStyle w:val="Heading2"/>
      </w:pPr>
      <w:r>
        <w:t xml:space="preserve">5. Quality Assurance and Acceptance</w:t>
      </w:r>
    </w:p>
    <w:p>
      <w:pPr>
        <w:pStyle w:val="FirstParagraph"/>
      </w:pPr>
      <w:r>
        <w:t xml:space="preserve">Upon arrival at the Israel Tel Aviv facility, the Buyer's engineering team shall conduct a 72-hour acceptance test of each Welder unit. The Welder equipment must demonstrate stable arc initiation, consistent amperage output within ±2% of rated specification, and proper operation of all safety interlocks. Any Welder unit that fails to meet the acceptance criteria shall be returned to the Supplier at the Supplier's cost for repair or replacement. The Supplier warrants that all Welder equipment is new, unused, and free from defects in materials and workmanship for a period of 24 months from the date of delivery in Israel Tel Aviv.</w:t>
      </w:r>
    </w:p>
    <w:bookmarkEnd w:id="25"/>
    <w:bookmarkStart w:id="26" w:name="terms-and-conditions"/>
    <w:p>
      <w:pPr>
        <w:pStyle w:val="Heading2"/>
      </w:pPr>
      <w:r>
        <w:t xml:space="preserve">6. Terms and Conditions</w:t>
      </w:r>
    </w:p>
    <w:p>
      <w:pPr>
        <w:numPr>
          <w:ilvl w:val="0"/>
          <w:numId w:val="1002"/>
        </w:numPr>
        <w:pStyle w:val="Compact"/>
      </w:pPr>
      <w:r>
        <w:t xml:space="preserve">This Purchase Order is governed by the laws of the State of Israel. Any disputes arising from this Purchase Order shall be subject to the exclusive jurisdiction of the competent courts in Tel Aviv, Israel Tel Aviv.</w:t>
      </w:r>
    </w:p>
    <w:p>
      <w:pPr>
        <w:numPr>
          <w:ilvl w:val="0"/>
          <w:numId w:val="1002"/>
        </w:numPr>
        <w:pStyle w:val="Compact"/>
      </w:pPr>
      <w:r>
        <w:t xml:space="preserve">The Supplier shall provide full technical documentation, operation manuals in English and Hebrew, and training for the Buyer's Welder operators at the Israel Tel Aviv site.</w:t>
      </w:r>
    </w:p>
    <w:p>
      <w:pPr>
        <w:numPr>
          <w:ilvl w:val="0"/>
          <w:numId w:val="1002"/>
        </w:numPr>
        <w:pStyle w:val="Compact"/>
      </w:pPr>
      <w:r>
        <w:t xml:space="preserve">Force majeure events, including but not limited to port closures, government sanctions, or natural disasters affecting the Israel Tel Aviv region, shall extend delivery timelines by the duration of the event.</w:t>
      </w:r>
    </w:p>
    <w:p>
      <w:pPr>
        <w:numPr>
          <w:ilvl w:val="0"/>
          <w:numId w:val="1002"/>
        </w:numPr>
        <w:pStyle w:val="Compact"/>
      </w:pPr>
      <w:r>
        <w:t xml:space="preserve">The Supplier shall maintain adequate product liability insurance covering the Welder equipment during transit and for a minimum of 24 months post-delivery in Israel Tel Aviv.</w:t>
      </w:r>
    </w:p>
    <w:p>
      <w:pPr>
        <w:numPr>
          <w:ilvl w:val="0"/>
          <w:numId w:val="1002"/>
        </w:numPr>
        <w:pStyle w:val="Compact"/>
      </w:pPr>
      <w:r>
        <w:t xml:space="preserve">Any modifications to this Purchase Order must be made in writing and signed by authorized representatives of both parties.</w:t>
      </w:r>
    </w:p>
    <w:p>
      <w:pPr>
        <w:numPr>
          <w:ilvl w:val="0"/>
          <w:numId w:val="1002"/>
        </w:numPr>
        <w:pStyle w:val="Compact"/>
      </w:pPr>
      <w:r>
        <w:t xml:space="preserve">The Supplier shall comply with all Israeli import regulations, including those set forth by the Israel Standards Institute (SII) and the Israel Ministry of Economy and Industry.</w:t>
      </w:r>
    </w:p>
    <w:bookmarkEnd w:id="26"/>
    <w:bookmarkStart w:id="27" w:name="authorization-and-signatures"/>
    <w:p>
      <w:pPr>
        <w:pStyle w:val="Heading2"/>
      </w:pPr>
      <w:r>
        <w:t xml:space="preserve">7. Authorization and Signatures</w:t>
      </w:r>
    </w:p>
    <w:p>
      <w:pPr>
        <w:pStyle w:val="FirstParagraph"/>
      </w:pPr>
      <w:r>
        <w:t xml:space="preserve">By signing below, both parties acknowledge and agree to all terms, conditions, and specifications set forth in this Purchase Order for the supply of Welder equipment to the Israel Tel Aviv facility.</w:t>
      </w:r>
    </w:p>
    <w:p>
      <w:pPr>
        <w:pStyle w:val="BodyText"/>
      </w:pPr>
      <w:r>
        <w:rPr>
          <w:bCs/>
          <w:b/>
        </w:rPr>
        <w:t xml:space="preserve">For the Buyer:</w:t>
      </w:r>
    </w:p>
    <w:p>
      <w:pPr>
        <w:pStyle w:val="BodyText"/>
      </w:pPr>
      <w:r>
        <w:t xml:space="preserve">Meridian Industrial Solutions Ltd.</w:t>
      </w:r>
    </w:p>
    <w:p>
      <w:pPr>
        <w:pStyle w:val="BodyText"/>
      </w:pPr>
      <w:r>
        <w:t xml:space="preserve">Name: David Ben-Ami</w:t>
      </w:r>
      <w:r>
        <w:br/>
      </w:r>
      <w:r>
        <w:t xml:space="preserve">Title: Procurement Director</w:t>
      </w:r>
      <w:r>
        <w:br/>
      </w:r>
      <w:r>
        <w:t xml:space="preserve">Signature: _________________________</w:t>
      </w:r>
      <w:r>
        <w:br/>
      </w:r>
      <w:r>
        <w:t xml:space="preserve">Date: _________________________</w:t>
      </w:r>
    </w:p>
    <w:p>
      <w:pPr>
        <w:pStyle w:val="BodyText"/>
      </w:pPr>
      <w:r>
        <w:rPr>
          <w:bCs/>
          <w:b/>
        </w:rPr>
        <w:t xml:space="preserve">For the Supplier:</w:t>
      </w:r>
    </w:p>
    <w:p>
      <w:pPr>
        <w:pStyle w:val="BodyText"/>
      </w:pPr>
      <w:r>
        <w:t xml:space="preserve">Global Welding Equipment GmbH</w:t>
      </w:r>
    </w:p>
    <w:p>
      <w:pPr>
        <w:pStyle w:val="BodyText"/>
      </w:pPr>
      <w:r>
        <w:t xml:space="preserve">Name: Katrin Vogel</w:t>
      </w:r>
      <w:r>
        <w:br/>
      </w:r>
      <w:r>
        <w:t xml:space="preserve">Title: Export Sales Manager</w:t>
      </w:r>
      <w:r>
        <w:br/>
      </w:r>
      <w:r>
        <w:t xml:space="preserve">Signature: _________________________</w:t>
      </w:r>
      <w:r>
        <w:br/>
      </w:r>
      <w:r>
        <w:t xml:space="preserve">Date: _________________________</w:t>
      </w:r>
    </w:p>
    <w:bookmarkEnd w:id="27"/>
    <w:p>
      <w:pPr>
        <w:pStyle w:val="BodyText"/>
      </w:pPr>
      <w:r>
        <w:t xml:space="preserve">This Purchase Order document (PO No. IL-TLV-2025-04871) was generated by Meridian Industrial Solutions Ltd. for the procurement of Welder equipment destined for Israel Tel Aviv. This document is confidential and intended solely for the named parties. Unauthorized reproduction or distribution is prohibited. All references to Israel Tel Aviv pertain to the designated delivery and operational site. All references to Welder pertain to the industrial welding equipment specified herein. This Purchase Order is valid only upon countersignature by both parties.</w:t>
      </w:r>
    </w:p>
    <w:sectPr/>
  </w:body>
</w:document>
</file>

<file path=word/comments.xml><?xml version="1.0" encoding="utf-8"?>
<w:comment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file>

<file path=word/fontTable.xml><?xml version="1.0" encoding="utf-8"?>
<w:fonts xmlns:r="http://schemas.openxmlformats.org/officeDocument/2006/relationships" xmlns:w="http://schemas.openxmlformats.org/wordprocessingml/2006/main">
  <w:font w:name="Symbol">
    <w:panose1 w:val="02000500000000000000"/>
    <w:charset w:val="02"/>
    <w:family w:val="auto"/>
    <w:pitch w:val="variable"/>
    <w:sig w:usb0="00000000" w:usb1="00000000" w:usb2="00010000" w:usb3="00000000" w:csb0="80000000" w:csb1="00000000"/>
  </w:font>
  <w:font w:name="Times New Roman">
    <w:panose1 w:val="02020603050405020304"/>
    <w:charset w:val="00"/>
    <w:family w:val="auto"/>
    <w:pitch w:val="variable"/>
    <w:sig w:usb0="00000003" w:usb1="00000000" w:usb2="00000000" w:usb3="00000000" w:csb0="00000001" w:csb1="00000000"/>
  </w:font>
  <w:font w:name="Courier New">
    <w:panose1 w:val="02070309020205020404"/>
    <w:charset w:val="00"/>
    <w:family w:val="auto"/>
    <w:pitch w:val="variable"/>
    <w:sig w:usb0="00000003" w:usb1="00000000" w:usb2="00000000" w:usb3="00000000" w:csb0="00000001" w:csb1="00000000"/>
  </w:font>
  <w:font w:name="Wingdings">
    <w:panose1 w:val="05020102010804080708"/>
    <w:charset w:val="02"/>
    <w:family w:val="auto"/>
    <w:pitch w:val="variable"/>
    <w:sig w:usb0="00000000" w:usb1="00000000" w:usb2="00010000" w:usb3="00000000" w:csb0="80000000" w:csb1="00000000"/>
  </w:font>
  <w:font w:name="Cambria">
    <w:panose1 w:val="02040503050406030204"/>
    <w:charset w:val="00"/>
    <w:family w:val="auto"/>
    <w:pitch w:val="variable"/>
    <w:sig w:usb0="00000003" w:usb1="00000000" w:usb2="00000000" w:usb3="00000000" w:csb0="00000001" w:csb1="00000000"/>
  </w:font>
  <w:font w:name="Calibri">
    <w:panose1 w:val="020F0502020204030204"/>
    <w:charset w:val="00"/>
    <w:family w:val="auto"/>
    <w:pitch w:val="variable"/>
    <w:sig w:usb0="00000003" w:usb1="00000000" w:usb2="00000000" w:usb3="00000000" w:csb0="00000001" w:csb1="00000000"/>
  </w:font>
  <w:font w:name="Arial">
    <w:panose1 w:val="020B0604020202020204"/>
    <w:charset w:val="00"/>
    <w:family w:val="auto"/>
    <w:pitch w:val="variable"/>
    <w:sig w:usb0="00000003" w:usb1="00000000" w:usb2="00000000" w:usb3="00000000" w:csb0="00000001" w:csb1="00000000"/>
  </w:font>
</w:fonts>
</file>

<file path=word/footnotes.xml><?xml version="1.0" encoding="utf-8"?>
<w:footnote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footnote w:type="continuationSeparator" w:id="0">
    <w:p>
      <w:r>
        <w:continuationSeparator/>
      </w:r>
    </w:p>
  </w:footnote>
  <w:footnote w:type="separator" w:id="-1">
    <w:p>
      <w:r>
        <w:separator/>
      </w:r>
    </w:p>
  </w:footnote>
</w:footnotes>
</file>

<file path=word/numbering.xml><?xml version="1.0" encoding="utf-8"?>
<w:numbering xmlns:w="http://schemas.openxmlformats.org/wordprocessingml/2006/main">
  <w:abstractNum w:abstractNumId="990">
    <w:nsid w:val="A990"/>
    <w:multiLevelType w:val="multilevel"/>
    <w:lvl w:ilvl="0">
      <w:numFmt w:val="bullet"/>
      <w:lvlText w:val=" "/>
      <w:lvlJc w:val="left"/>
      <w:pPr>
        <w:ind w:left="720" w:hanging="480"/>
      </w:pPr>
    </w:lvl>
    <w:lvl w:ilvl="1">
      <w:numFmt w:val="bullet"/>
      <w:lvlText w:val=" "/>
      <w:lvlJc w:val="left"/>
      <w:pPr>
        <w:ind w:left="1440" w:hanging="480"/>
      </w:pPr>
    </w:lvl>
    <w:lvl w:ilvl="2">
      <w:numFmt w:val="bullet"/>
      <w:lvlText w:val=" "/>
      <w:lvlJc w:val="left"/>
      <w:pPr>
        <w:ind w:left="2160" w:hanging="480"/>
      </w:pPr>
    </w:lvl>
    <w:lvl w:ilvl="3">
      <w:numFmt w:val="bullet"/>
      <w:lvlText w:val=" "/>
      <w:lvlJc w:val="left"/>
      <w:pPr>
        <w:ind w:left="2880" w:hanging="480"/>
      </w:pPr>
    </w:lvl>
    <w:lvl w:ilvl="4">
      <w:numFmt w:val="bullet"/>
      <w:lvlText w:val=" "/>
      <w:lvlJc w:val="left"/>
      <w:pPr>
        <w:ind w:left="3600" w:hanging="480"/>
      </w:pPr>
    </w:lvl>
    <w:lvl w:ilvl="5">
      <w:numFmt w:val="bullet"/>
      <w:lvlText w:val=" "/>
      <w:lvlJc w:val="left"/>
      <w:pPr>
        <w:ind w:left="4320" w:hanging="480"/>
      </w:pPr>
    </w:lvl>
    <w:lvl w:ilvl="6">
      <w:numFmt w:val="bullet"/>
      <w:lvlText w:val=" "/>
      <w:lvlJc w:val="left"/>
      <w:pPr>
        <w:ind w:left="5040" w:hanging="480"/>
      </w:pPr>
    </w:lvl>
    <w:lvl w:ilvl="7">
      <w:numFmt w:val="bullet"/>
      <w:lvlText w:val=" "/>
      <w:lvlJc w:val="left"/>
      <w:pPr>
        <w:ind w:left="5760" w:hanging="480"/>
      </w:pPr>
    </w:lvl>
    <w:lvl w:ilvl="8">
      <w:numFmt w:val="bullet"/>
      <w:lvlText w:val=" "/>
      <w:lvlJc w:val="left"/>
      <w:pPr>
        <w:ind w:left="6480" w:hanging="480"/>
      </w:pPr>
    </w:lvl>
  </w:abstractNum>
  <w:abstractNum w:abstractNumId="991">
    <w:nsid w:val="A991"/>
    <w:multiLevelType w:val="multilevel"/>
    <w:lvl w:ilvl="0">
      <w:numFmt w:val="bullet"/>
      <w:lvlText w:val="•"/>
      <w:lvlJc w:val="left"/>
      <w:pPr>
        <w:ind w:left="720" w:hanging="480"/>
      </w:pPr>
    </w:lvl>
    <w:lvl w:ilvl="1">
      <w:numFmt w:val="bullet"/>
      <w:lvlText w:val="–"/>
      <w:lvlJc w:val="left"/>
      <w:pPr>
        <w:ind w:left="1440" w:hanging="480"/>
      </w:pPr>
    </w:lvl>
    <w:lvl w:ilvl="2">
      <w:numFmt w:val="bullet"/>
      <w:lvlText w:val="•"/>
      <w:lvlJc w:val="left"/>
      <w:pPr>
        <w:ind w:left="2160" w:hanging="480"/>
      </w:pPr>
    </w:lvl>
    <w:lvl w:ilvl="3">
      <w:numFmt w:val="bullet"/>
      <w:lvlText w:val="–"/>
      <w:lvlJc w:val="left"/>
      <w:pPr>
        <w:ind w:left="2880" w:hanging="480"/>
      </w:pPr>
    </w:lvl>
    <w:lvl w:ilvl="4">
      <w:numFmt w:val="bullet"/>
      <w:lvlText w:val="•"/>
      <w:lvlJc w:val="left"/>
      <w:pPr>
        <w:ind w:left="3600" w:hanging="480"/>
      </w:pPr>
    </w:lvl>
    <w:lvl w:ilvl="5">
      <w:numFmt w:val="bullet"/>
      <w:lvlText w:val="–"/>
      <w:lvlJc w:val="left"/>
      <w:pPr>
        <w:ind w:left="4320" w:hanging="480"/>
      </w:pPr>
    </w:lvl>
    <w:lvl w:ilvl="6">
      <w:numFmt w:val="bullet"/>
      <w:lvlText w:val="•"/>
      <w:lvlJc w:val="left"/>
      <w:pPr>
        <w:ind w:left="5040" w:hanging="480"/>
      </w:pPr>
    </w:lvl>
    <w:lvl w:ilvl="7">
      <w:numFmt w:val="bullet"/>
      <w:lvlText w:val="–"/>
      <w:lvlJc w:val="left"/>
      <w:pPr>
        <w:ind w:left="5760" w:hanging="480"/>
      </w:pPr>
    </w:lvl>
    <w:lvl w:ilvl="8">
      <w:numFmt w:val="bullet"/>
      <w:lvlText w:val="•"/>
      <w:lvlJc w:val="left"/>
      <w:pPr>
        <w:ind w:left="6480" w:hanging="480"/>
      </w:pPr>
    </w:lvl>
  </w:abstractNum>
  <w:num w:numId="1000">
    <w:abstractNumId w:val="990"/>
  </w:num>
  <w:num w:numId="1001">
    <w:abstractNumId w:val="991"/>
  </w:num>
  <w:num w:numId="1002">
    <w:abstractNumId w:val="991"/>
  </w:num>
</w:numbering>
</file>

<file path=word/settings.xml><?xml version="1.0" encoding="utf-8"?>
<w:settings xmlns:m="http://schemas.openxmlformats.org/officeDocument/2006/math" xmlns:o="urn:schemas-microsoft-com:office:office" xmlns:r="http://schemas.openxmlformats.org/officeDocument/2006/relationships" xmlns:sl="http://schemas.openxmlformats.org/schemaLibrary/2006/main" xmlns:v="urn:schemas-microsoft-com:vml" xmlns:w="http://schemas.openxmlformats.org/wordprocessingml/2006/main" xmlns:w10="urn:schemas-microsoft-com:office:word">
  <w:stylePaneFormatFilter w:val="0004"/>
  <w:footnotePr>
    <w:footnote w:id="-1"/>
    <w:footnote w:id="0"/>
  </w:footnotePr>
  <w:rsids>
  </w:rsids>
  <w:clrSchemeMapping w:accent1="accent1" w:accent2="accent2" w:accent3="accent3" w:accent4="accent4" w:accent5="accent5" w:accent6="accent6" w:bg1="light1" w:bg2="light2" w:followedHyperlink="followedHyperlink" w:hyperlink="hyperlink" w:t1="dark1" w:t2="dark2"/>
  <w:zoom w:percent="100"/>
  <w:embedSystemFonts/>
  <w:proofState w:grammar="clean" w:spelling="clean"/>
  <w:doNotTrackMoves/>
  <w:defaultTabStop w:val="720"/>
  <w:drawingGridHorizontalSpacing w:val="360"/>
  <w:drawingGridVerticalSpacing w:val="360"/>
  <w:displayHorizontalDrawingGridEvery w:val="0"/>
  <w:displayVerticalDrawingGridEvery w:val="0"/>
  <w:characterSpacingControl w:val="doNotCompress"/>
  <w:savePreviewPicture/>
  <m:mathPr>
    <m:mathFont m:val="Cambria Math"/>
    <m:brkBin m:val="before"/>
    <m:brkBinSub m:val="--"/>
    <m:smallFrac m:val="0"/>
    <m:dispDef/>
    <m:lMargin m:val="0"/>
    <m:rMargin m:val="0"/>
    <m:wrapRight/>
    <m:intLim m:val="subSup"/>
    <m:naryLim m:val="undOvr"/>
  </m:mathPr>
  <w:themeFontLang w:val="en-US"/>
  <w:decimalSymbol w:val="."/>
  <w:listSeparator w:val=","/>
</w:settings>
</file>

<file path=word/styles.xml><?xml version="1.0" encoding="utf-8"?>
<w:styles xmlns:r="http://schemas.openxmlformats.org/officeDocument/2006/relationships" xmlns:w="http://schemas.openxmlformats.org/wordprocessingml/2006/main">
  <w:docDefaults>
    <w:rPrDefault>
      <w:rPr>
        <w:rFonts w:asciiTheme="minorHAnsi" w:cstheme="minorBidi" w:eastAsiaTheme="minorHAnsi" w:hAnsiTheme="minorHAnsi"/>
        <w:sz w:val="24"/>
        <w:szCs w:val="24"/>
        <w:lang w:bidi="ar-SA" w:eastAsia="en-US" w:val="en"/>
      </w:rPr>
    </w:rPrDefault>
    <w:pPrDefault>
      <w:pPr>
        <w:spacing w:after="200"/>
      </w:pPr>
    </w:pPrDefault>
  </w:docDefaults>
  <w:latentStyles w:count="276" w:defLockedState="0" w:defQFormat="0" w:defSemiHidden="0" w:defUIPriority="0" w:defUnhideWhenUsed="0"/>
  <w:style w:default="1" w:styleId="Normal" w:type="paragraph">
    <w:name w:val="Normal"/>
    <w:qFormat/>
  </w:style>
  <w:style w:styleId="BodyText" w:type="paragraph">
    <w:name w:val="Body Text"/>
    <w:basedOn w:val="Normal"/>
    <w:link w:val="BodyTextChar"/>
    <w:pPr>
      <w:spacing w:after="180" w:before="180"/>
    </w:pPr>
    <w:qFormat/>
  </w:style>
  <w:style w:customStyle="1" w:styleId="FirstParagraph" w:type="paragraph">
    <w:name w:val="First Paragraph"/>
    <w:basedOn w:val="BodyText"/>
    <w:next w:val="BodyText"/>
    <w:qFormat/>
  </w:style>
  <w:style w:customStyle="1" w:styleId="Compact" w:type="paragraph">
    <w:name w:val="Compact"/>
    <w:basedOn w:val="BodyText"/>
    <w:qFormat/>
    <w:pPr>
      <w:spacing w:after="36" w:before="36"/>
    </w:pPr>
  </w:style>
  <w:style w:styleId="Title" w:type="paragraph">
    <w:name w:val="Title"/>
    <w:basedOn w:val="Normal"/>
    <w:next w:val="BodyText"/>
    <w:qFormat/>
    <w:pPr>
      <w:keepNext/>
      <w:keepLines/>
      <w:spacing w:after="240" w:before="480"/>
      <w:jc w:val="center"/>
    </w:pPr>
    <w:rPr>
      <w:rFonts w:asciiTheme="majorHAnsi" w:cstheme="majorBidi" w:eastAsiaTheme="majorEastAsia" w:hAnsiTheme="majorHAnsi"/>
      <w:b/>
      <w:bCs/>
      <w:color w:themeColor="accent1" w:themeShade="B5" w:val="345A8A"/>
      <w:sz w:val="36"/>
      <w:szCs w:val="36"/>
    </w:rPr>
  </w:style>
  <w:style w:styleId="Subtitle" w:type="paragraph">
    <w:name w:val="Subtitle"/>
    <w:basedOn w:val="Title"/>
    <w:next w:val="BodyText"/>
    <w:qFormat/>
    <w:pPr>
      <w:keepNext/>
      <w:keepLines/>
      <w:spacing w:after="240" w:before="240"/>
      <w:jc w:val="center"/>
    </w:pPr>
    <w:rPr>
      <w:sz w:val="30"/>
      <w:szCs w:val="30"/>
    </w:rPr>
  </w:style>
  <w:style w:customStyle="1" w:styleId="Author" w:type="paragraph">
    <w:name w:val="Author"/>
    <w:next w:val="BodyText"/>
    <w:qFormat/>
    <w:pPr>
      <w:keepNext/>
      <w:keepLines/>
      <w:jc w:val="center"/>
    </w:pPr>
  </w:style>
  <w:style w:styleId="Date" w:type="paragraph">
    <w:name w:val="Date"/>
    <w:next w:val="BodyText"/>
    <w:qFormat/>
    <w:pPr>
      <w:keepNext/>
      <w:keepLines/>
      <w:jc w:val="center"/>
    </w:pPr>
  </w:style>
  <w:style w:customStyle="1" w:styleId="Abstract" w:type="paragraph">
    <w:name w:val="Abstract"/>
    <w:basedOn w:val="Normal"/>
    <w:next w:val="BodyText"/>
    <w:qFormat/>
    <w:pPr>
      <w:keepNext/>
      <w:keepLines/>
      <w:spacing w:after="300" w:before="300"/>
    </w:pPr>
    <w:rPr>
      <w:sz w:val="20"/>
      <w:szCs w:val="20"/>
    </w:rPr>
  </w:style>
  <w:style w:styleId="Bibliography" w:type="paragraph">
    <w:name w:val="Bibliography"/>
    <w:basedOn w:val="Normal"/>
    <w:next w:val="Bibliography"/>
    <w:qFormat/>
    <w:pPr/>
    <w:rPr/>
  </w:style>
  <w:style w:styleId="Heading1" w:type="paragraph">
    <w:name w:val="Heading 1"/>
    <w:basedOn w:val="Normal"/>
    <w:next w:val="BodyText"/>
    <w:uiPriority w:val="9"/>
    <w:qFormat/>
    <w:pPr>
      <w:keepNext/>
      <w:keepLines/>
      <w:spacing w:after="0" w:before="480"/>
      <w:outlineLvl w:val="0"/>
    </w:pPr>
    <w:rPr>
      <w:rFonts w:asciiTheme="majorHAnsi" w:cstheme="majorBidi" w:eastAsiaTheme="majorEastAsia" w:hAnsiTheme="majorHAnsi"/>
      <w:b/>
      <w:bCs/>
      <w:color w:themeColor="accent1" w:val="4F81BD"/>
      <w:sz w:val="32"/>
      <w:szCs w:val="32"/>
    </w:rPr>
  </w:style>
  <w:style w:styleId="Heading2" w:type="paragraph">
    <w:name w:val="Heading 2"/>
    <w:basedOn w:val="Normal"/>
    <w:next w:val="BodyText"/>
    <w:uiPriority w:val="9"/>
    <w:unhideWhenUsed/>
    <w:qFormat/>
    <w:pPr>
      <w:keepNext/>
      <w:keepLines/>
      <w:spacing w:after="0" w:before="200"/>
      <w:outlineLvl w:val="1"/>
    </w:pPr>
    <w:rPr>
      <w:rFonts w:asciiTheme="majorHAnsi" w:cstheme="majorBidi" w:eastAsiaTheme="majorEastAsia" w:hAnsiTheme="majorHAnsi"/>
      <w:b/>
      <w:bCs/>
      <w:color w:themeColor="accent1" w:val="4F81BD"/>
      <w:sz w:val="28"/>
      <w:szCs w:val="28"/>
    </w:rPr>
  </w:style>
  <w:style w:styleId="Heading3" w:type="paragraph">
    <w:name w:val="Heading 3"/>
    <w:basedOn w:val="Normal"/>
    <w:next w:val="BodyText"/>
    <w:uiPriority w:val="9"/>
    <w:unhideWhenUsed/>
    <w:qFormat/>
    <w:pPr>
      <w:keepNext/>
      <w:keepLines/>
      <w:spacing w:after="0" w:before="200"/>
      <w:outlineLvl w:val="2"/>
    </w:pPr>
    <w:rPr>
      <w:rFonts w:asciiTheme="majorHAnsi" w:cstheme="majorBidi" w:eastAsiaTheme="majorEastAsia" w:hAnsiTheme="majorHAnsi"/>
      <w:b/>
      <w:bCs/>
      <w:color w:themeColor="accent1" w:val="4F81BD"/>
      <w:sz w:val="24"/>
      <w:szCs w:val="24"/>
    </w:rPr>
  </w:style>
  <w:style w:styleId="Heading4" w:type="paragraph">
    <w:name w:val="Heading 4"/>
    <w:basedOn w:val="Normal"/>
    <w:next w:val="BodyText"/>
    <w:uiPriority w:val="9"/>
    <w:unhideWhenUsed/>
    <w:qFormat/>
    <w:pPr>
      <w:keepNext/>
      <w:keepLines/>
      <w:spacing w:after="0" w:before="200"/>
      <w:outlineLvl w:val="3"/>
    </w:pPr>
    <w:rPr>
      <w:rFonts w:asciiTheme="majorHAnsi" w:cstheme="majorBidi" w:eastAsiaTheme="majorEastAsia" w:hAnsiTheme="majorHAnsi"/>
      <w:i/>
      <w:bCs/>
      <w:color w:themeColor="accent1" w:val="4F81BD"/>
      <w:sz w:val="24"/>
      <w:szCs w:val="24"/>
    </w:rPr>
  </w:style>
  <w:style w:styleId="Heading5" w:type="paragraph">
    <w:name w:val="Heading 5"/>
    <w:basedOn w:val="Normal"/>
    <w:next w:val="BodyText"/>
    <w:uiPriority w:val="9"/>
    <w:unhideWhenUsed/>
    <w:qFormat/>
    <w:pPr>
      <w:keepNext/>
      <w:keepLines/>
      <w:spacing w:after="0" w:before="200"/>
      <w:outlineLvl w:val="4"/>
    </w:pPr>
    <w:rPr>
      <w:rFonts w:asciiTheme="majorHAnsi" w:cstheme="majorBidi" w:eastAsiaTheme="majorEastAsia" w:hAnsiTheme="majorHAnsi"/>
      <w:iCs/>
      <w:color w:themeColor="accent1" w:val="4F81BD"/>
      <w:sz w:val="24"/>
      <w:szCs w:val="24"/>
    </w:rPr>
  </w:style>
  <w:style w:styleId="Heading6" w:type="paragraph">
    <w:name w:val="Heading 6"/>
    <w:basedOn w:val="Normal"/>
    <w:next w:val="BodyText"/>
    <w:uiPriority w:val="9"/>
    <w:unhideWhenUsed/>
    <w:qFormat/>
    <w:pPr>
      <w:keepNext/>
      <w:keepLines/>
      <w:spacing w:after="0" w:before="200"/>
      <w:outlineLvl w:val="5"/>
    </w:pPr>
    <w:rPr>
      <w:rFonts w:asciiTheme="majorHAnsi" w:cstheme="majorBidi" w:eastAsiaTheme="majorEastAsia" w:hAnsiTheme="majorHAnsi"/>
      <w:color w:themeColor="accent1" w:val="4F81BD"/>
      <w:sz w:val="24"/>
      <w:szCs w:val="24"/>
    </w:rPr>
  </w:style>
  <w:style w:styleId="Heading7" w:type="paragraph">
    <w:name w:val="Heading 7"/>
    <w:basedOn w:val="Normal"/>
    <w:next w:val="BodyText"/>
    <w:uiPriority w:val="9"/>
    <w:unhideWhenUsed/>
    <w:qFormat/>
    <w:pPr>
      <w:keepNext/>
      <w:keepLines/>
      <w:spacing w:after="0" w:before="200"/>
      <w:outlineLvl w:val="6"/>
    </w:pPr>
    <w:rPr>
      <w:rFonts w:asciiTheme="majorHAnsi" w:cstheme="majorBidi" w:eastAsiaTheme="majorEastAsia" w:hAnsiTheme="majorHAnsi"/>
      <w:color w:themeColor="accent1" w:val="4F81BD"/>
      <w:sz w:val="24"/>
      <w:szCs w:val="24"/>
    </w:rPr>
  </w:style>
  <w:style w:styleId="Heading8" w:type="paragraph">
    <w:name w:val="Heading 8"/>
    <w:basedOn w:val="Normal"/>
    <w:next w:val="BodyText"/>
    <w:uiPriority w:val="9"/>
    <w:unhideWhenUsed/>
    <w:qFormat/>
    <w:pPr>
      <w:keepNext/>
      <w:keepLines/>
      <w:spacing w:after="0" w:before="200"/>
      <w:outlineLvl w:val="7"/>
    </w:pPr>
    <w:rPr>
      <w:rFonts w:asciiTheme="majorHAnsi" w:cstheme="majorBidi" w:eastAsiaTheme="majorEastAsia" w:hAnsiTheme="majorHAnsi"/>
      <w:color w:themeColor="accent1" w:val="4F81BD"/>
      <w:sz w:val="24"/>
      <w:szCs w:val="24"/>
    </w:rPr>
  </w:style>
  <w:style w:styleId="Heading9" w:type="paragraph">
    <w:name w:val="Heading 9"/>
    <w:basedOn w:val="Normal"/>
    <w:next w:val="BodyText"/>
    <w:uiPriority w:val="9"/>
    <w:unhideWhenUsed/>
    <w:qFormat/>
    <w:pPr>
      <w:keepNext/>
      <w:keepLines/>
      <w:spacing w:after="0" w:before="200"/>
      <w:outlineLvl w:val="8"/>
    </w:pPr>
    <w:rPr>
      <w:rFonts w:asciiTheme="majorHAnsi" w:cstheme="majorBidi" w:eastAsiaTheme="majorEastAsia" w:hAnsiTheme="majorHAnsi"/>
      <w:color w:themeColor="accent1" w:val="4F81BD"/>
      <w:sz w:val="24"/>
      <w:szCs w:val="24"/>
    </w:rPr>
  </w:style>
  <w:style w:styleId="BlockText" w:type="paragraph">
    <w:name w:val="Block Text"/>
    <w:basedOn w:val="BodyText"/>
    <w:next w:val="BodyText"/>
    <w:uiPriority w:val="9"/>
    <w:unhideWhenUsed/>
    <w:qFormat/>
    <w:pPr>
      <w:spacing w:after="100" w:before="100"/>
      <w:ind w:firstLine="0" w:left="480" w:right="480"/>
    </w:pPr>
  </w:style>
  <w:style w:styleId="FootnoteText" w:type="paragraph">
    <w:name w:val="Footnote Text"/>
    <w:basedOn w:val="Normal"/>
    <w:next w:val="FootnoteText"/>
    <w:uiPriority w:val="9"/>
    <w:unhideWhenUsed/>
    <w:qFormat/>
  </w:style>
  <w:style w:default="1" w:styleId="DefaultParagraphFont" w:type="character">
    <w:name w:val="Default Paragraph Font"/>
    <w:semiHidden/>
    <w:unhideWhenUsed/>
  </w:style>
  <w:style w:default="1" w:styleId="Table" w:type="table">
    <w:name w:val="Table"/>
    <w:basedOn w:val="TableNormal"/>
    <w:semiHidden/>
    <w:unhideWhenUsed/>
    <w:qFormat/>
    <w:tblPr>
      <w:tblInd w:type="dxa" w:w="0"/>
      <w:tblCellMar>
        <w:top w:type="dxa" w:w="0"/>
        <w:left w:type="dxa" w:w="108"/>
        <w:bottom w:type="dxa" w:w="0"/>
        <w:right w:type="dxa" w:w="108"/>
      </w:tblCellMar>
    </w:tblPr>
    <w:tblStylePr w:type="firstRow">
      <w:tblPr>
        <w:jc w:val="left"/>
        <w:tblInd w:type="dxa" w:w="0"/>
      </w:tblPr>
      <w:trPr>
        <w:jc w:val="left"/>
      </w:trPr>
      <w:tcPr>
        <w:vAlign w:val="bottom"/>
        <w:tcBorders>
          <w:bottom w:val="single"/>
        </w:tcBorders>
      </w:tcPr>
    </w:tblStylePr>
  </w:style>
  <w:style w:customStyle="1" w:styleId="DefinitionTerm" w:type="paragraph">
    <w:name w:val="Definition Term"/>
    <w:basedOn w:val="Normal"/>
    <w:next w:val="Definition"/>
    <w:pPr>
      <w:keepNext/>
      <w:keepLines/>
      <w:spacing w:after="0"/>
    </w:pPr>
    <w:rPr>
      <w:b/>
    </w:rPr>
  </w:style>
  <w:style w:customStyle="1" w:styleId="Definition" w:type="paragraph">
    <w:name w:val="Definition"/>
    <w:basedOn w:val="Normal"/>
  </w:style>
  <w:style w:styleId="Caption" w:type="paragraph">
    <w:name w:val="Caption"/>
    <w:basedOn w:val="Normal"/>
    <w:link w:val="BodyTextChar"/>
    <w:pPr>
      <w:spacing w:after="120" w:before="0"/>
    </w:pPr>
    <w:rPr>
      <w:i/>
    </w:rPr>
  </w:style>
  <w:style w:customStyle="1" w:styleId="TableCaption" w:type="paragraph">
    <w:name w:val="Table Caption"/>
    <w:basedOn w:val="Caption"/>
    <w:pPr>
      <w:keepNext/>
    </w:pPr>
  </w:style>
  <w:style w:customStyle="1" w:styleId="ImageCaption" w:type="paragraph">
    <w:name w:val="Image Caption"/>
    <w:basedOn w:val="Caption"/>
  </w:style>
  <w:style w:customStyle="1" w:styleId="Figure" w:type="paragraph">
    <w:name w:val="Figure"/>
    <w:basedOn w:val="Normal"/>
  </w:style>
  <w:style w:customStyle="1" w:styleId="CaptionedFigure" w:type="paragraph">
    <w:name w:val="Captioned Figure"/>
    <w:basedOn w:val="Figure"/>
    <w:pPr>
      <w:keepNext/>
    </w:pPr>
  </w:style>
  <w:style w:customStyle="1" w:styleId="BodyTextChar" w:type="character">
    <w:name w:val="Body Text Char"/>
    <w:basedOn w:val="DefaultParagraphFont"/>
    <w:link w:val="BodyText"/>
  </w:style>
  <w:style w:customStyle="1" w:styleId="VerbatimChar" w:type="character">
    <w:name w:val="Verbatim Char"/>
    <w:basedOn w:val="BodyTextChar"/>
    <w:rPr>
      <w:rFonts w:ascii="Consolas" w:hAnsi="Consolas"/>
      <w:sz w:val="22"/>
    </w:rPr>
  </w:style>
  <w:style w:customStyle="1" w:styleId="SectionNumber" w:type="character">
    <w:name w:val="Section Number"/>
    <w:basedOn w:val="BodyTextChar"/>
  </w:style>
  <w:style w:styleId="FootnoteReference" w:type="character">
    <w:name w:val="Footnote Reference"/>
    <w:basedOn w:val="BodyTextChar"/>
    <w:rPr>
      <w:vertAlign w:val="superscript"/>
    </w:rPr>
  </w:style>
  <w:style w:styleId="Hyperlink" w:type="character">
    <w:name w:val="Hyperlink"/>
    <w:basedOn w:val="BodyTextChar"/>
    <w:rPr>
      <w:color w:themeColor="accent1" w:val="4F81BD"/>
    </w:rPr>
  </w:style>
  <w:style w:styleId="TOCHeading" w:type="paragraph">
    <w:name w:val="TOC Heading"/>
    <w:basedOn w:val="Heading1"/>
    <w:next w:val="BodyText"/>
    <w:uiPriority w:val="39"/>
    <w:unhideWhenUsed/>
    <w:qFormat/>
    <w:pPr>
      <w:spacing w:before="240" w:line="259" w:lineRule="auto"/>
      <w:outlineLvl w:val="9"/>
    </w:pPr>
    <w:rPr>
      <w:rFonts w:asciiTheme="majorHAnsi" w:cstheme="majorBidi" w:eastAsiaTheme="majorEastAsia" w:hAnsiTheme="majorHAnsi"/>
      <w:b w:val="0"/>
      <w:bCs w:val="0"/>
      <w:color w:themeColor="accent1" w:themeShade="BF" w:val="365F91"/>
    </w:rPr>
  </w:style>
  <w:style w:type="paragraph" w:customStyle="1" w:styleId="SourceCode">
    <w:name w:val="Source Code"/>
    <w:basedOn w:val="Normal"/>
    <w:link w:val="VerbatimChar"/>
    <w:pPr>
      <w:wordWrap w:val="off"/>
    </w:pPr>
  </w:style>
  <w:style w:type="character" w:customStyle="1" w:styleId="KeywordTok">
    <w:name w:val="KeywordTok"/>
    <w:basedOn w:val="VerbatimChar"/>
    <w:rPr>
      <w:color w:val="007020"/>
      <w:b/>
    </w:rPr>
  </w:style>
  <w:style w:type="character" w:customStyle="1" w:styleId="DataTypeTok">
    <w:name w:val="DataTypeTok"/>
    <w:basedOn w:val="VerbatimChar"/>
    <w:rPr>
      <w:color w:val="902000"/>
    </w:rPr>
  </w:style>
  <w:style w:type="character" w:customStyle="1" w:styleId="DecValTok">
    <w:name w:val="DecValTok"/>
    <w:basedOn w:val="VerbatimChar"/>
    <w:rPr>
      <w:color w:val="40a070"/>
    </w:rPr>
  </w:style>
  <w:style w:type="character" w:customStyle="1" w:styleId="BaseNTok">
    <w:name w:val="BaseNTok"/>
    <w:basedOn w:val="VerbatimChar"/>
    <w:rPr>
      <w:color w:val="40a070"/>
    </w:rPr>
  </w:style>
  <w:style w:type="character" w:customStyle="1" w:styleId="FloatTok">
    <w:name w:val="FloatTok"/>
    <w:basedOn w:val="VerbatimChar"/>
    <w:rPr>
      <w:color w:val="40a070"/>
    </w:rPr>
  </w:style>
  <w:style w:type="character" w:customStyle="1" w:styleId="ConstantTok">
    <w:name w:val="ConstantTok"/>
    <w:basedOn w:val="VerbatimChar"/>
    <w:rPr>
      <w:color w:val="880000"/>
    </w:rPr>
  </w:style>
  <w:style w:type="character" w:customStyle="1" w:styleId="CharTok">
    <w:name w:val="CharTok"/>
    <w:basedOn w:val="VerbatimChar"/>
    <w:rPr>
      <w:color w:val="4070a0"/>
    </w:rPr>
  </w:style>
  <w:style w:type="character" w:customStyle="1" w:styleId="SpecialCharTok">
    <w:name w:val="SpecialCharTok"/>
    <w:basedOn w:val="VerbatimChar"/>
    <w:rPr>
      <w:color w:val="4070a0"/>
    </w:rPr>
  </w:style>
  <w:style w:type="character" w:customStyle="1" w:styleId="StringTok">
    <w:name w:val="StringTok"/>
    <w:basedOn w:val="VerbatimChar"/>
    <w:rPr>
      <w:color w:val="4070a0"/>
    </w:rPr>
  </w:style>
  <w:style w:type="character" w:customStyle="1" w:styleId="VerbatimStringTok">
    <w:name w:val="VerbatimStringTok"/>
    <w:basedOn w:val="VerbatimChar"/>
    <w:rPr>
      <w:color w:val="4070a0"/>
    </w:rPr>
  </w:style>
  <w:style w:type="character" w:customStyle="1" w:styleId="SpecialStringTok">
    <w:name w:val="SpecialStringTok"/>
    <w:basedOn w:val="VerbatimChar"/>
    <w:rPr>
      <w:color w:val="bb6688"/>
    </w:rPr>
  </w:style>
  <w:style w:type="character" w:customStyle="1" w:styleId="ImportTok">
    <w:name w:val="ImportTok"/>
    <w:basedOn w:val="VerbatimChar"/>
    <w:rPr>
      <w:color w:val="008000"/>
      <w:b/>
    </w:rPr>
  </w:style>
  <w:style w:type="character" w:customStyle="1" w:styleId="CommentTok">
    <w:name w:val="CommentTok"/>
    <w:basedOn w:val="VerbatimChar"/>
    <w:rPr>
      <w:color w:val="60a0b0"/>
      <w:i/>
    </w:rPr>
  </w:style>
  <w:style w:type="character" w:customStyle="1" w:styleId="DocumentationTok">
    <w:name w:val="DocumentationTok"/>
    <w:basedOn w:val="VerbatimChar"/>
    <w:rPr>
      <w:color w:val="ba2121"/>
      <w:i/>
    </w:rPr>
  </w:style>
  <w:style w:type="character" w:customStyle="1" w:styleId="AnnotationTok">
    <w:name w:val="AnnotationTok"/>
    <w:basedOn w:val="VerbatimChar"/>
    <w:rPr>
      <w:color w:val="60a0b0"/>
      <w:b/>
      <w:i/>
    </w:rPr>
  </w:style>
  <w:style w:type="character" w:customStyle="1" w:styleId="CommentVarTok">
    <w:name w:val="CommentVarTok"/>
    <w:basedOn w:val="VerbatimChar"/>
    <w:rPr>
      <w:color w:val="60a0b0"/>
      <w:b/>
      <w:i/>
    </w:rPr>
  </w:style>
  <w:style w:type="character" w:customStyle="1" w:styleId="OtherTok">
    <w:name w:val="OtherTok"/>
    <w:basedOn w:val="VerbatimChar"/>
    <w:rPr>
      <w:color w:val="007020"/>
    </w:rPr>
  </w:style>
  <w:style w:type="character" w:customStyle="1" w:styleId="FunctionTok">
    <w:name w:val="FunctionTok"/>
    <w:basedOn w:val="VerbatimChar"/>
    <w:rPr>
      <w:color w:val="06287e"/>
    </w:rPr>
  </w:style>
  <w:style w:type="character" w:customStyle="1" w:styleId="VariableTok">
    <w:name w:val="VariableTok"/>
    <w:basedOn w:val="VerbatimChar"/>
    <w:rPr>
      <w:color w:val="19177c"/>
    </w:rPr>
  </w:style>
  <w:style w:type="character" w:customStyle="1" w:styleId="ControlFlowTok">
    <w:name w:val="ControlFlowTok"/>
    <w:basedOn w:val="VerbatimChar"/>
    <w:rPr>
      <w:color w:val="007020"/>
      <w:b/>
    </w:rPr>
  </w:style>
  <w:style w:type="character" w:customStyle="1" w:styleId="OperatorTok">
    <w:name w:val="OperatorTok"/>
    <w:basedOn w:val="VerbatimChar"/>
    <w:rPr>
      <w:color w:val="666666"/>
    </w:rPr>
  </w:style>
  <w:style w:type="character" w:customStyle="1" w:styleId="BuiltInTok">
    <w:name w:val="BuiltInTok"/>
    <w:basedOn w:val="VerbatimChar"/>
    <w:rPr>
      <w:color w:val="008000"/>
    </w:rPr>
  </w:style>
  <w:style w:type="character" w:customStyle="1" w:styleId="ExtensionTok">
    <w:name w:val="ExtensionTok"/>
    <w:basedOn w:val="VerbatimChar"/>
    <w:rPr/>
  </w:style>
  <w:style w:type="character" w:customStyle="1" w:styleId="PreprocessorTok">
    <w:name w:val="PreprocessorTok"/>
    <w:basedOn w:val="VerbatimChar"/>
    <w:rPr>
      <w:color w:val="bc7a00"/>
    </w:rPr>
  </w:style>
  <w:style w:type="character" w:customStyle="1" w:styleId="AttributeTok">
    <w:name w:val="AttributeTok"/>
    <w:basedOn w:val="VerbatimChar"/>
    <w:rPr>
      <w:color w:val="7d9029"/>
    </w:rPr>
  </w:style>
  <w:style w:type="character" w:customStyle="1" w:styleId="RegionMarkerTok">
    <w:name w:val="RegionMarkerTok"/>
    <w:basedOn w:val="VerbatimChar"/>
    <w:rPr/>
  </w:style>
  <w:style w:type="character" w:customStyle="1" w:styleId="InformationTok">
    <w:name w:val="InformationTok"/>
    <w:basedOn w:val="VerbatimChar"/>
    <w:rPr>
      <w:color w:val="60a0b0"/>
      <w:b/>
      <w:i/>
    </w:rPr>
  </w:style>
  <w:style w:type="character" w:customStyle="1" w:styleId="WarningTok">
    <w:name w:val="WarningTok"/>
    <w:basedOn w:val="VerbatimChar"/>
    <w:rPr>
      <w:color w:val="60a0b0"/>
      <w:b/>
      <w:i/>
    </w:rPr>
  </w:style>
  <w:style w:type="character" w:customStyle="1" w:styleId="AlertTok">
    <w:name w:val="AlertTok"/>
    <w:basedOn w:val="VerbatimChar"/>
    <w:rPr>
      <w:color w:val="ff0000"/>
      <w:b/>
    </w:rPr>
  </w:style>
  <w:style w:type="character" w:customStyle="1" w:styleId="ErrorTok">
    <w:name w:val="ErrorTok"/>
    <w:basedOn w:val="VerbatimChar"/>
    <w:rPr>
      <w:color w:val="ff0000"/>
      <w:b/>
    </w:rPr>
  </w:style>
  <w:style w:type="character" w:customStyle="1" w:styleId="NormalTok">
    <w:name w:val="NormalTok"/>
    <w:basedOn w:val="VerbatimChar"/>
    <w:rPr/>
  </w:style>
</w:styles>
</file>

<file path=word/webSettings.xml><?xml version="1.0" encoding="utf-8"?>
<ns0:webSettings xmlns:ns0="http://schemas.openxmlformats.org/wordprocessingml/2006/main">
  <ns0:allowPNG/>
  <ns0:doNotSaveAsSingleFile/>
</ns0:webSettings>
</file>

<file path=word/_rels/document.xml.rels><?xml version="1.0" encoding="UTF-8"?><Relationships xmlns="http://schemas.openxmlformats.org/package/2006/relationships"><Relationship Type="http://schemas.openxmlformats.org/officeDocument/2006/relationships/numbering" Id="rId1" Target="numbering.xml" /><Relationship Type="http://schemas.openxmlformats.org/officeDocument/2006/relationships/styles" Id="rId2" Target="styles.xml" /><Relationship Type="http://schemas.openxmlformats.org/officeDocument/2006/relationships/settings" Id="rId3" Target="settings.xml" /><Relationship Type="http://schemas.openxmlformats.org/officeDocument/2006/relationships/webSettings" Id="rId4" Target="webSettings.xml" /><Relationship Type="http://schemas.openxmlformats.org/officeDocument/2006/relationships/fontTable" Id="rId5" Target="fontTable.xml" /><Relationship Type="http://schemas.openxmlformats.org/officeDocument/2006/relationships/theme" Id="rId6" Target="theme/theme1.xml" /><Relationship Type="http://schemas.openxmlformats.org/officeDocument/2006/relationships/footnotes" Id="rId7" Target="footnotes.xml" /><Relationship Type="http://schemas.openxmlformats.org/officeDocument/2006/relationships/comments" Id="rId8" Target="comments.xml" /></Relationships>
</file>

<file path=word/_rels/footnotes.xml.rels><?xml version="1.0" encoding="UTF-8"?><Relationships xmlns="http://schemas.openxmlformats.org/package/2006/relationships" />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libri"/>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mbria"/>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tint val="100000"/>
                <a:shade val="100000"/>
                <a:satMod val="130000"/>
              </a:schemeClr>
            </a:gs>
            <a:gs pos="100000">
              <a:schemeClr val="phClr">
                <a:tint val="50000"/>
                <a:shade val="100000"/>
                <a:satMod val="350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spDef>
      <a:spPr/>
      <a:bodyPr/>
      <a:lstStyle/>
      <a:style>
        <a:lnRef idx="1">
          <a:schemeClr val="accent1"/>
        </a:lnRef>
        <a:fillRef idx="3">
          <a:schemeClr val="accent1"/>
        </a:fillRef>
        <a:effectRef idx="2">
          <a:schemeClr val="accent1"/>
        </a:effectRef>
        <a:fontRef idx="minor">
          <a:schemeClr val="lt1"/>
        </a:fontRef>
      </a:style>
    </a:spDef>
    <a:lnDef>
      <a:spPr/>
      <a:bodyPr/>
      <a:lstStyle/>
      <a:style>
        <a:lnRef idx="2">
          <a:schemeClr val="accent1"/>
        </a:lnRef>
        <a:fillRef idx="0">
          <a:schemeClr val="accent1"/>
        </a:fillRef>
        <a:effectRef idx="1">
          <a:schemeClr val="accent1"/>
        </a:effectRef>
        <a:fontRef idx="minor">
          <a:schemeClr val="tx1"/>
        </a:fontRef>
      </a:style>
    </a:lnDef>
  </a:objectDefaults>
  <a:extraClrSchemeLst/>
</a:theme>
</file>

<file path=docProps/app.xml><?xml version="1.0" encoding="utf-8"?>
<Properties xmlns="http://schemas.openxmlformats.org/officeDocument/2006/extended-properties" xmlns:vt="http://schemas.openxmlformats.org/officeDocument/2006/docPropsVTypes">
  <Words>83</Words>
  <SharedDoc>false</SharedDoc>
  <HyperlinksChanged>false</HyperlinksChanged>
  <Lines>12</Lines>
  <AppVersion>12.0000</AppVersion>
  <LinksUpToDate>false</LinksUpToDate>
  <Application>Microsoft Word 12.0.0</Application>
  <CharactersWithSpaces>583</CharactersWithSpaces>
  <Template>Normal.dotm</Template>
  <DocSecurity>0</DocSecurity>
  <TotalTime>6</TotalTime>
  <ScaleCrop>false</ScaleCrop>
  <Characters>475</Characters>
  <Paragraphs>8</Paragraphs>
  <Pages>1</Pages>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Purchase Order - Welder - Israel Tel Aviv</dc:title>
  <dc:creator/>
  <dc:language>en</dc:language>
  <cp:keywords/>
  <dcterms:created xsi:type="dcterms:W3CDTF">2026-10-10T05:12:28Z</dcterms:created>
  <dcterms:modified xsi:type="dcterms:W3CDTF">2026-10-10T05:12:28Z</dcterms:modified>
</cp:coreProperties>
</file>

<file path=docProps/custom.xml><?xml version="1.0" encoding="utf-8"?>
<Properties xmlns="http://schemas.openxmlformats.org/officeDocument/2006/custom-properties" xmlns:vt="http://schemas.openxmlformats.org/officeDocument/2006/docPropsVTypes">
  <property fmtid="{D5CDD505-2E9C-101B-9397-08002B2CF9AE}" pid="2" name="viewport">
    <vt:lpwstr>width=device-width, initial-scale=1.0</vt:lpwstr>
  </property>
</Properties>
</file>