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t xml:space="preserve">Welder Procurement for Industrial Use in Malaysia Kuala Lumpur</w:t>
      </w:r>
    </w:p>
    <w:p>
      <w:pPr>
        <w:pStyle w:val="BodyText"/>
      </w:pPr>
      <w:r>
        <w:t xml:space="preserve">Document Reference: PO-ML-2025-00472</w:t>
      </w:r>
    </w:p>
    <w:bookmarkEnd w:id="20"/>
    <w:p>
      <w:pPr>
        <w:pStyle w:val="BodyText"/>
      </w:pPr>
      <w:r>
        <w:rPr>
          <w:bCs/>
          <w:b/>
        </w:rPr>
        <w:t xml:space="preserve">Purchase Order No.:</w:t>
      </w:r>
      <w:r>
        <w:t xml:space="preserve"> </w:t>
      </w:r>
      <w:r>
        <w:t xml:space="preserve">PO-ML-2025-00472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Malaysia Kuala Lumpur</w:t>
      </w:r>
      <w:r>
        <w:br/>
      </w:r>
      <w:r>
        <w:rPr>
          <w:bCs/>
          <w:b/>
        </w:rPr>
        <w:t xml:space="preserve">Project Code:</w:t>
      </w:r>
      <w:r>
        <w:t xml:space="preserve"> </w:t>
      </w:r>
      <w:r>
        <w:t xml:space="preserve">KL-WELD-2025-IND</w:t>
      </w:r>
      <w:r>
        <w:br/>
      </w:r>
      <w:r>
        <w:rPr>
          <w:bCs/>
          <w:b/>
        </w:rPr>
        <w:t xml:space="preserve">Priority:</w:t>
      </w:r>
      <w:r>
        <w:t xml:space="preserve"> </w:t>
      </w:r>
      <w:r>
        <w:t xml:space="preserve">Standard</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Selangor Industrial Fabrication Sdn. Bhd.</w:t>
            </w:r>
          </w:p>
        </w:tc>
        <w:tc>
          <w:tcPr/>
          <w:p>
            <w:pPr>
              <w:pStyle w:val="Compact"/>
              <w:jc w:val="left"/>
            </w:pPr>
            <w:r>
              <w:rPr>
                <w:bCs/>
                <w:b/>
              </w:rPr>
              <w:t xml:space="preserve">Registration No.:</w:t>
            </w:r>
            <w:r>
              <w:t xml:space="preserve"> </w:t>
            </w:r>
            <w:r>
              <w:t xml:space="preserve">201901045678</w:t>
            </w:r>
          </w:p>
        </w:tc>
      </w:tr>
      <w:tr>
        <w:tc>
          <w:tcPr/>
          <w:p>
            <w:pPr>
              <w:pStyle w:val="Compact"/>
              <w:jc w:val="left"/>
            </w:pPr>
            <w:r>
              <w:rPr>
                <w:bCs/>
                <w:b/>
              </w:rPr>
              <w:t xml:space="preserve">Address:</w:t>
            </w:r>
            <w:r>
              <w:t xml:space="preserve"> </w:t>
            </w:r>
            <w:r>
              <w:t xml:space="preserve">Lot 12, Jalan Industri 3, Taman Perindustrian UEP, 47600 Subang Jaya, Selangor, Malaysia</w:t>
            </w:r>
          </w:p>
        </w:tc>
        <w:tc>
          <w:tcPr/>
          <w:p>
            <w:pPr>
              <w:pStyle w:val="Compact"/>
              <w:jc w:val="left"/>
            </w:pPr>
            <w:r>
              <w:rPr>
                <w:bCs/>
                <w:b/>
              </w:rPr>
              <w:t xml:space="preserve">Contact Person:</w:t>
            </w:r>
            <w:r>
              <w:t xml:space="preserve"> </w:t>
            </w:r>
            <w:r>
              <w:t xml:space="preserve">Mr. Ahmad Faizal bin Rahman</w:t>
            </w:r>
          </w:p>
        </w:tc>
      </w:tr>
      <w:tr>
        <w:tc>
          <w:tcPr/>
          <w:p>
            <w:pPr>
              <w:pStyle w:val="Compact"/>
              <w:jc w:val="left"/>
            </w:pPr>
            <w:r>
              <w:rPr>
                <w:bCs/>
                <w:b/>
              </w:rPr>
              <w:t xml:space="preserve">Email:</w:t>
            </w:r>
            <w:r>
              <w:t xml:space="preserve"> </w:t>
            </w:r>
            <w:r>
              <w:t xml:space="preserve">procurement@selangorindustrial.com.my</w:t>
            </w:r>
          </w:p>
        </w:tc>
        <w:tc>
          <w:tcPr/>
          <w:p>
            <w:pPr>
              <w:pStyle w:val="Compact"/>
              <w:jc w:val="left"/>
            </w:pPr>
            <w:r>
              <w:rPr>
                <w:bCs/>
                <w:b/>
              </w:rPr>
              <w:t xml:space="preserve">Phone:</w:t>
            </w:r>
            <w:r>
              <w:t xml:space="preserve"> </w:t>
            </w:r>
            <w:r>
              <w:t xml:space="preserve">+60 3-8071 4520</w:t>
            </w:r>
          </w:p>
        </w:tc>
      </w:tr>
    </w:tbl>
    <w:p>
      <w:pPr>
        <w:pStyle w:val="BodyText"/>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Welding Solutions Pte. Ltd.</w:t>
            </w:r>
          </w:p>
        </w:tc>
        <w:tc>
          <w:tcPr/>
          <w:p>
            <w:pPr>
              <w:pStyle w:val="Compact"/>
              <w:jc w:val="left"/>
            </w:pPr>
            <w:r>
              <w:rPr>
                <w:bCs/>
                <w:b/>
              </w:rPr>
              <w:t xml:space="preserve">Registration No.:</w:t>
            </w:r>
            <w:r>
              <w:t xml:space="preserve"> </w:t>
            </w:r>
            <w:r>
              <w:t xml:space="preserve">201012345A</w:t>
            </w:r>
          </w:p>
        </w:tc>
      </w:tr>
      <w:tr>
        <w:tc>
          <w:tcPr/>
          <w:p>
            <w:pPr>
              <w:pStyle w:val="Compact"/>
              <w:jc w:val="left"/>
            </w:pPr>
            <w:r>
              <w:rPr>
                <w:bCs/>
                <w:b/>
              </w:rPr>
              <w:t xml:space="preserve">Address:</w:t>
            </w:r>
            <w:r>
              <w:t xml:space="preserve"> </w:t>
            </w:r>
            <w:r>
              <w:t xml:space="preserve">88 Woodlands Industrial Park E9, #04-12, Singapore 757600</w:t>
            </w:r>
          </w:p>
        </w:tc>
        <w:tc>
          <w:tcPr/>
          <w:p>
            <w:pPr>
              <w:pStyle w:val="Compact"/>
              <w:jc w:val="left"/>
            </w:pPr>
            <w:r>
              <w:rPr>
                <w:bCs/>
                <w:b/>
              </w:rPr>
              <w:t xml:space="preserve">Contact Person:</w:t>
            </w:r>
            <w:r>
              <w:t xml:space="preserve"> </w:t>
            </w:r>
            <w:r>
              <w:t xml:space="preserve">Ms. Tan Wei Ling</w:t>
            </w:r>
          </w:p>
        </w:tc>
      </w:tr>
      <w:tr>
        <w:tc>
          <w:tcPr/>
          <w:p>
            <w:pPr>
              <w:pStyle w:val="Compact"/>
              <w:jc w:val="left"/>
            </w:pPr>
            <w:r>
              <w:rPr>
                <w:bCs/>
                <w:b/>
              </w:rPr>
              <w:t xml:space="preserve">Email:</w:t>
            </w:r>
            <w:r>
              <w:t xml:space="preserve"> </w:t>
            </w:r>
            <w:r>
              <w:t xml:space="preserve">sales@pacificwelding.com.sg</w:t>
            </w:r>
          </w:p>
        </w:tc>
        <w:tc>
          <w:tcPr/>
          <w:p>
            <w:pPr>
              <w:pStyle w:val="Compact"/>
              <w:jc w:val="left"/>
            </w:pPr>
            <w:r>
              <w:rPr>
                <w:bCs/>
                <w:b/>
              </w:rPr>
              <w:t xml:space="preserve">Phone:</w:t>
            </w:r>
            <w:r>
              <w:t xml:space="preserve"> </w:t>
            </w:r>
            <w:r>
              <w:t xml:space="preserve">+65 6742 8890</w:t>
            </w:r>
          </w:p>
        </w:tc>
      </w:tr>
    </w:tbl>
    <w:p>
      <w:pPr>
        <w:pStyle w:val="BodyText"/>
      </w:pPr>
      <w:r>
        <w:t xml:space="preserve">3. Item Description and Specifications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r>
      <w:tr>
        <w:tc>
          <w:tcPr/>
          <w:p>
            <w:pPr>
              <w:pStyle w:val="Compact"/>
              <w:jc w:val="left"/>
            </w:pPr>
            <w:r>
              <w:t xml:space="preserve">01</w:t>
            </w:r>
          </w:p>
        </w:tc>
        <w:tc>
          <w:tcPr/>
          <w:p>
            <w:pPr>
              <w:pStyle w:val="Compact"/>
              <w:jc w:val="left"/>
            </w:pPr>
            <w:r>
              <w:rPr>
                <w:bCs/>
                <w:b/>
              </w:rPr>
              <w:t xml:space="preserve">Welder</w:t>
            </w:r>
            <w:r>
              <w:t xml:space="preserve"> </w:t>
            </w:r>
            <w:r>
              <w:t xml:space="preserve">– Multi-Process Inverter Welding Machine, 250A, MIG/MAG/TIG/ARC</w:t>
            </w:r>
          </w:p>
        </w:tc>
        <w:tc>
          <w:tcPr/>
          <w:p>
            <w:pPr>
              <w:pStyle w:val="Compact"/>
              <w:jc w:val="left"/>
            </w:pPr>
            <w:r>
              <w:t xml:space="preserve">Brand: Fronius; Model: TP 250i; Input: 3-Phase 380V/50Hz; Output: 20-250A; Duty Cycle: 60% at 250A; Weight: 18.5 kg; IP21 Rated; CE &amp; SIRIM Certified; Includes torch, ground clamp, gas regulator, and carrying case</w:t>
            </w:r>
          </w:p>
        </w:tc>
        <w:tc>
          <w:tcPr/>
          <w:p>
            <w:pPr>
              <w:pStyle w:val="Compact"/>
              <w:jc w:val="left"/>
            </w:pPr>
            <w:r>
              <w:t xml:space="preserve">12</w:t>
            </w:r>
          </w:p>
        </w:tc>
        <w:tc>
          <w:tcPr/>
          <w:p>
            <w:pPr>
              <w:pStyle w:val="Compact"/>
              <w:jc w:val="left"/>
            </w:pPr>
            <w:r>
              <w:t xml:space="preserve">8,450.00</w:t>
            </w:r>
          </w:p>
        </w:tc>
        <w:tc>
          <w:tcPr/>
          <w:p>
            <w:pPr>
              <w:pStyle w:val="Compact"/>
              <w:jc w:val="left"/>
            </w:pPr>
            <w:r>
              <w:t xml:space="preserve">101,400.00</w:t>
            </w:r>
          </w:p>
        </w:tc>
      </w:tr>
      <w:tr>
        <w:tc>
          <w:tcPr/>
          <w:p>
            <w:pPr>
              <w:pStyle w:val="Compact"/>
              <w:jc w:val="left"/>
            </w:pPr>
            <w:r>
              <w:t xml:space="preserve">02</w:t>
            </w:r>
          </w:p>
        </w:tc>
        <w:tc>
          <w:tcPr/>
          <w:p>
            <w:pPr>
              <w:pStyle w:val="Compact"/>
              <w:jc w:val="left"/>
            </w:pPr>
            <w:r>
              <w:rPr>
                <w:bCs/>
                <w:b/>
              </w:rPr>
              <w:t xml:space="preserve">Welder</w:t>
            </w:r>
            <w:r>
              <w:t xml:space="preserve"> </w:t>
            </w:r>
            <w:r>
              <w:t xml:space="preserve">Accessory Kit – TIG Torch Set with Ceramic Nozzles (5mm, 8mm, 10mm), Tungsten Electrodes (2.4mm, 3.2mm), and PTFE Liner</w:t>
            </w:r>
          </w:p>
        </w:tc>
        <w:tc>
          <w:tcPr/>
          <w:p>
            <w:pPr>
              <w:pStyle w:val="Compact"/>
              <w:jc w:val="left"/>
            </w:pPr>
            <w:r>
              <w:t xml:space="preserve">Compatible with TP 250i; Copper body; Quick-change nozzle system; 100% argon compatible</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03</w:t>
            </w:r>
          </w:p>
        </w:tc>
        <w:tc>
          <w:tcPr/>
          <w:p>
            <w:pPr>
              <w:pStyle w:val="Compact"/>
              <w:jc w:val="left"/>
            </w:pPr>
            <w:r>
              <w:rPr>
                <w:bCs/>
                <w:b/>
              </w:rPr>
              <w:t xml:space="preserve">Welder</w:t>
            </w:r>
            <w:r>
              <w:t xml:space="preserve"> </w:t>
            </w:r>
            <w:r>
              <w:t xml:space="preserve">Consumable Pack – MIG Wire ER70S-6 (1.0mm, 15kg spool), TIG Filler Rods 308L (2.4mm, 5kg), and Flux-Cored Wire E71T-1 (1.2mm, 15kg spool)</w:t>
            </w:r>
          </w:p>
        </w:tc>
        <w:tc>
          <w:tcPr/>
          <w:p>
            <w:pPr>
              <w:pStyle w:val="Compact"/>
              <w:jc w:val="left"/>
            </w:pPr>
            <w:r>
              <w:t xml:space="preserve">Industrial grade; Suitable for carbon steel, stainless steel, and mild steel fabrication in Malaysia Kuala Lumpur workshop conditions</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04</w:t>
            </w:r>
          </w:p>
        </w:tc>
        <w:tc>
          <w:tcPr/>
          <w:p>
            <w:pPr>
              <w:pStyle w:val="Compact"/>
              <w:jc w:val="left"/>
            </w:pPr>
            <w:r>
              <w:rPr>
                <w:bCs/>
                <w:b/>
              </w:rPr>
              <w:t xml:space="preserve">Welder</w:t>
            </w:r>
            <w:r>
              <w:t xml:space="preserve"> </w:t>
            </w:r>
            <w:r>
              <w:t xml:space="preserve">Safety Equipment Set – Auto-Darkening Welding Helmet (Shade 4-9), Leather Welding Gloves, Flame-Retardant Welding Jacket, and Safety Goggles</w:t>
            </w:r>
          </w:p>
        </w:tc>
        <w:tc>
          <w:tcPr/>
          <w:p>
            <w:pPr>
              <w:pStyle w:val="Compact"/>
              <w:jc w:val="left"/>
            </w:pPr>
            <w:r>
              <w:t xml:space="preserve">EN 175 / EN 374 compliant; Rated for use in tropical industrial environments in Malaysia Kuala Lumpur</w:t>
            </w:r>
          </w:p>
        </w:tc>
        <w:tc>
          <w:tcPr/>
          <w:p>
            <w:pPr>
              <w:pStyle w:val="Compact"/>
              <w:jc w:val="left"/>
            </w:pPr>
            <w:r>
              <w:t xml:space="preserve">12</w:t>
            </w:r>
          </w:p>
        </w:tc>
        <w:tc>
          <w:tcPr/>
          <w:p>
            <w:pPr>
              <w:pStyle w:val="Compact"/>
              <w:jc w:val="left"/>
            </w:pPr>
            <w:r>
              <w:t xml:space="preserve">920.00</w:t>
            </w:r>
          </w:p>
        </w:tc>
        <w:tc>
          <w:tcPr/>
          <w:p>
            <w:pPr>
              <w:pStyle w:val="Compact"/>
              <w:jc w:val="left"/>
            </w:pPr>
            <w:r>
              <w:t xml:space="preserve">11,040.00</w:t>
            </w:r>
          </w:p>
        </w:tc>
      </w:tr>
      <w:tr>
        <w:tc>
          <w:tcPr>
            <w:gridSpan w:val="5"/>
          </w:tcPr>
          <w:p>
            <w:pPr>
              <w:pStyle w:val="Compact"/>
              <w:jc w:val="right"/>
            </w:pPr>
            <w:r>
              <w:t xml:space="preserve">SUBTOTAL</w:t>
            </w:r>
          </w:p>
        </w:tc>
        <w:tc>
          <w:tcPr/>
          <w:p>
            <w:pPr>
              <w:pStyle w:val="Compact"/>
              <w:jc w:val="left"/>
            </w:pPr>
            <w:r>
              <w:t xml:space="preserve">135,480.00</w:t>
            </w:r>
          </w:p>
        </w:tc>
      </w:tr>
      <w:tr>
        <w:tc>
          <w:tcPr>
            <w:gridSpan w:val="5"/>
          </w:tcPr>
          <w:p>
            <w:pPr>
              <w:pStyle w:val="Compact"/>
              <w:jc w:val="right"/>
            </w:pPr>
            <w:r>
              <w:t xml:space="preserve">SST (Sales &amp; Service Tax) @ 8%</w:t>
            </w:r>
          </w:p>
        </w:tc>
        <w:tc>
          <w:tcPr/>
          <w:p>
            <w:pPr>
              <w:pStyle w:val="Compact"/>
              <w:jc w:val="left"/>
            </w:pPr>
            <w:r>
              <w:t xml:space="preserve">10,838.40</w:t>
            </w:r>
          </w:p>
        </w:tc>
      </w:tr>
      <w:tr>
        <w:tc>
          <w:tcPr>
            <w:gridSpan w:val="5"/>
          </w:tcPr>
          <w:p>
            <w:pPr>
              <w:pStyle w:val="Compact"/>
              <w:jc w:val="right"/>
            </w:pPr>
            <w:r>
              <w:t xml:space="preserve">DELIVERY &amp; INSTALLATION (Malaysia Kuala Lumpur)</w:t>
            </w:r>
          </w:p>
        </w:tc>
        <w:tc>
          <w:tcPr/>
          <w:p>
            <w:pPr>
              <w:pStyle w:val="Compact"/>
              <w:jc w:val="left"/>
            </w:pPr>
            <w:r>
              <w:t xml:space="preserve">3,200.00</w:t>
            </w:r>
          </w:p>
        </w:tc>
      </w:tr>
      <w:tr>
        <w:tc>
          <w:tcPr>
            <w:gridSpan w:val="5"/>
          </w:tcPr>
          <w:p>
            <w:pPr>
              <w:pStyle w:val="Compact"/>
              <w:jc w:val="right"/>
            </w:pPr>
            <w:r>
              <w:t xml:space="preserve">GRAND TOTAL (MYR)</w:t>
            </w:r>
          </w:p>
        </w:tc>
        <w:tc>
          <w:tcPr/>
          <w:p>
            <w:pPr>
              <w:pStyle w:val="Compact"/>
              <w:jc w:val="left"/>
            </w:pPr>
            <w:r>
              <w:t xml:space="preserve">149,518.40</w:t>
            </w:r>
          </w:p>
        </w:tc>
      </w:tr>
    </w:tbl>
    <w:p>
      <w:pPr>
        <w:pStyle w:val="BodyText"/>
      </w:pPr>
      <w:r>
        <w:t xml:space="preserve">4. Delivery and Installation Details</w:t>
      </w:r>
    </w:p>
    <w:p>
      <w:pPr>
        <w:pStyle w:val="BodyText"/>
      </w:pPr>
      <w:r>
        <w:t xml:space="preserve">All</w:t>
      </w:r>
      <w:r>
        <w:t xml:space="preserve"> </w:t>
      </w:r>
      <w:r>
        <w:rPr>
          <w:bCs/>
          <w:b/>
        </w:rPr>
        <w:t xml:space="preserve">Welder</w:t>
      </w:r>
      <w:r>
        <w:t xml:space="preserve"> </w:t>
      </w:r>
      <w:r>
        <w:t xml:space="preserve">units and associated equipment shall be delivered to the buyer's fabrication facility located at</w:t>
      </w:r>
      <w:r>
        <w:t xml:space="preserve"> </w:t>
      </w:r>
      <w:r>
        <w:t xml:space="preserve">Malaysia Kuala Lumpur</w:t>
      </w:r>
      <w:r>
        <w:t xml:space="preserve">, specifically at the Selangor Industrial Fabrication Sdn. Bhd. workshop premises. The delivery address for this Purchase Order is: Lot 12, Jalan Industri 3, Taman Perindustrian UEP, 47600 Subang Jaya, adjacent to the Kuala Lumpur metropolitan industrial corridor. The supplier is responsible for all logistics, customs clearance at the Port of Klang, and final delivery to the designated site within Malaysia Kuala Lumpur.</w:t>
      </w:r>
    </w:p>
    <w:p>
      <w:pPr>
        <w:pStyle w:val="BodyText"/>
      </w:pPr>
      <w:r>
        <w:t xml:space="preserve">Installation, commissioning, and operator training for each</w:t>
      </w:r>
      <w:r>
        <w:t xml:space="preserve"> </w:t>
      </w:r>
      <w:r>
        <w:rPr>
          <w:bCs/>
          <w:b/>
        </w:rPr>
        <w:t xml:space="preserve">Welder</w:t>
      </w:r>
      <w:r>
        <w:t xml:space="preserve"> </w:t>
      </w:r>
      <w:r>
        <w:t xml:space="preserve">unit shall be conducted on-site at the Malaysia Kuala Lumpur facility. The supplier's certified technician shall ensure that all twelve (12)</w:t>
      </w:r>
      <w:r>
        <w:t xml:space="preserve"> </w:t>
      </w:r>
      <w:r>
        <w:rPr>
          <w:bCs/>
          <w:b/>
        </w:rPr>
        <w:t xml:space="preserve">Welder</w:t>
      </w:r>
      <w:r>
        <w:t xml:space="preserve"> </w:t>
      </w:r>
      <w:r>
        <w:t xml:space="preserve">machines are calibrated, tested under load, and fully operational before the buyer signs the delivery acceptance certificate. Training sessions shall cover MIG, TIG, and ARC welding procedures, safety protocols specific to tropical industrial environments, and routine maintenance schedules.</w:t>
      </w:r>
    </w:p>
    <w:p>
      <w:pPr>
        <w:pStyle w:val="BodyText"/>
      </w:pPr>
      <w:r>
        <w:t xml:space="preserve">5. Payment Terms</w:t>
      </w:r>
    </w:p>
    <w:p>
      <w:pPr>
        <w:numPr>
          <w:ilvl w:val="0"/>
          <w:numId w:val="1001"/>
        </w:numPr>
        <w:pStyle w:val="Compact"/>
      </w:pPr>
      <w:r>
        <w:rPr>
          <w:bCs/>
          <w:b/>
        </w:rPr>
        <w:t xml:space="preserve">Advance Payment:</w:t>
      </w:r>
      <w:r>
        <w:t xml:space="preserve"> </w:t>
      </w:r>
      <w:r>
        <w:t xml:space="preserve">30% of the total Purchase Order value (MYR 44,855.52) shall be remitted via bank transfer within seven (7) business days of the supplier's acknowledgment of this Purchase Order.</w:t>
      </w:r>
    </w:p>
    <w:p>
      <w:pPr>
        <w:numPr>
          <w:ilvl w:val="0"/>
          <w:numId w:val="1001"/>
        </w:numPr>
        <w:pStyle w:val="Compact"/>
      </w:pPr>
      <w:r>
        <w:rPr>
          <w:bCs/>
          <w:b/>
        </w:rPr>
        <w:t xml:space="preserve">Delivery Payment:</w:t>
      </w:r>
      <w:r>
        <w:t xml:space="preserve"> </w:t>
      </w:r>
      <w:r>
        <w:t xml:space="preserve">50% of the total Purchase Order value (MYR 74,759.20) shall be payable within fourteen (14) business days following successful delivery, installation, and commissioning of all</w:t>
      </w:r>
      <w:r>
        <w:t xml:space="preserve"> </w:t>
      </w:r>
      <w:r>
        <w:rPr>
          <w:bCs/>
          <w:b/>
        </w:rPr>
        <w:t xml:space="preserve">Welder</w:t>
      </w:r>
      <w:r>
        <w:t xml:space="preserve"> </w:t>
      </w:r>
      <w:r>
        <w:t xml:space="preserve">units at the Malaysia Kuala Lumpur site.</w:t>
      </w:r>
    </w:p>
    <w:p>
      <w:pPr>
        <w:numPr>
          <w:ilvl w:val="0"/>
          <w:numId w:val="1001"/>
        </w:numPr>
        <w:pStyle w:val="Compact"/>
      </w:pPr>
      <w:r>
        <w:rPr>
          <w:bCs/>
          <w:b/>
        </w:rPr>
        <w:t xml:space="preserve">Retention Payment:</w:t>
      </w:r>
      <w:r>
        <w:t xml:space="preserve"> </w:t>
      </w:r>
      <w:r>
        <w:t xml:space="preserve">The remaining 20% of the total Purchase Order value (MYR 29,903.68) shall be retained and released within sixty (60) days after the warranty acceptance period, provided no defects or non-conformances are identified in the</w:t>
      </w:r>
      <w:r>
        <w:t xml:space="preserve"> </w:t>
      </w:r>
      <w:r>
        <w:rPr>
          <w:bCs/>
          <w:b/>
        </w:rPr>
        <w:t xml:space="preserve">Welder</w:t>
      </w:r>
      <w:r>
        <w:t xml:space="preserve"> </w:t>
      </w:r>
      <w:r>
        <w:t xml:space="preserve">equipment.</w:t>
      </w:r>
    </w:p>
    <w:p>
      <w:pPr>
        <w:numPr>
          <w:ilvl w:val="0"/>
          <w:numId w:val="1001"/>
        </w:numPr>
        <w:pStyle w:val="Compact"/>
      </w:pPr>
      <w:r>
        <w:t xml:space="preserve">All payments shall be made in Malaysian Ringgit (MYR) to the supplier's designated bank account. The buyer reserves the right to withhold payment if the</w:t>
      </w:r>
      <w:r>
        <w:t xml:space="preserve"> </w:t>
      </w:r>
      <w:r>
        <w:rPr>
          <w:bCs/>
          <w:b/>
        </w:rPr>
        <w:t xml:space="preserve">Welder</w:t>
      </w:r>
      <w:r>
        <w:t xml:space="preserve"> </w:t>
      </w:r>
      <w:r>
        <w:t xml:space="preserve">units fail to meet the specifications outlined in this Purchase Order.</w:t>
      </w:r>
    </w:p>
    <w:p>
      <w:pPr>
        <w:pStyle w:val="FirstParagraph"/>
      </w:pPr>
      <w:r>
        <w:t xml:space="preserve">6. Warranty and After-Sales Support</w:t>
      </w:r>
    </w:p>
    <w:p>
      <w:pPr>
        <w:pStyle w:val="BodyText"/>
      </w:pPr>
      <w:r>
        <w:t xml:space="preserve">The supplier warrants that all</w:t>
      </w:r>
      <w:r>
        <w:t xml:space="preserve"> </w:t>
      </w:r>
      <w:r>
        <w:rPr>
          <w:bCs/>
          <w:b/>
        </w:rPr>
        <w:t xml:space="preserve">Welder</w:t>
      </w:r>
      <w:r>
        <w:t xml:space="preserve"> </w:t>
      </w:r>
      <w:r>
        <w:t xml:space="preserve">units supplied under this Purchase Order shall be free from defects in materials and workmanship for a period of twenty-four (24) months from the date of acceptance at the Malaysia Kuala Lumpur facility. During the warranty period, the supplier shall provide on-site repair or replacement of any defective</w:t>
      </w:r>
      <w:r>
        <w:t xml:space="preserve"> </w:t>
      </w:r>
      <w:r>
        <w:rPr>
          <w:bCs/>
          <w:b/>
        </w:rPr>
        <w:t xml:space="preserve">Welder</w:t>
      </w:r>
      <w:r>
        <w:t xml:space="preserve"> </w:t>
      </w:r>
      <w:r>
        <w:t xml:space="preserve">component within forty-eight (48) hours of a written defect notification. The supplier shall also provide a dedicated after-sales support hotline accessible during standard business hours in Malaysia Kuala Lumpur (Monday to Friday, 8:00 AM to 6:00 PM MYT) for the duration of the warranty.</w:t>
      </w:r>
    </w:p>
    <w:p>
      <w:pPr>
        <w:pStyle w:val="BodyText"/>
      </w:pPr>
      <w:r>
        <w:t xml:space="preserve">7. Terms and Conditions</w:t>
      </w:r>
    </w:p>
    <w:p>
      <w:pPr>
        <w:numPr>
          <w:ilvl w:val="0"/>
          <w:numId w:val="1002"/>
        </w:numPr>
        <w:pStyle w:val="Compact"/>
      </w:pPr>
      <w:r>
        <w:t xml:space="preserve">This Purchase Order constitutes a binding agreement between the Buyer and the Supplier upon signature by both parties. Any amendments to this Purchase Order must be made in writing and signed by authorized representatives of both parties.</w:t>
      </w:r>
    </w:p>
    <w:p>
      <w:pPr>
        <w:numPr>
          <w:ilvl w:val="0"/>
          <w:numId w:val="1002"/>
        </w:numPr>
        <w:pStyle w:val="Compact"/>
      </w:pPr>
      <w:r>
        <w:t xml:space="preserve">The</w:t>
      </w:r>
      <w:r>
        <w:t xml:space="preserve"> </w:t>
      </w:r>
      <w:r>
        <w:rPr>
          <w:bCs/>
          <w:b/>
        </w:rPr>
        <w:t xml:space="preserve">Welder</w:t>
      </w:r>
      <w:r>
        <w:t xml:space="preserve"> </w:t>
      </w:r>
      <w:r>
        <w:t xml:space="preserve">equipment must comply with all applicable Malaysian standards, including SIRIM certification requirements, and must be suitable for continuous industrial use in the tropical climate conditions prevalent in Malaysia Kuala Lumpur.</w:t>
      </w:r>
    </w:p>
    <w:p>
      <w:pPr>
        <w:numPr>
          <w:ilvl w:val="0"/>
          <w:numId w:val="1002"/>
        </w:numPr>
        <w:pStyle w:val="Compact"/>
      </w:pPr>
      <w:r>
        <w:t xml:space="preserve">Delivery is expected no later than 30 July 2025. Failure to deliver the</w:t>
      </w:r>
      <w:r>
        <w:t xml:space="preserve"> </w:t>
      </w:r>
      <w:r>
        <w:rPr>
          <w:bCs/>
          <w:b/>
        </w:rPr>
        <w:t xml:space="preserve">Welder</w:t>
      </w:r>
      <w:r>
        <w:t xml:space="preserve"> </w:t>
      </w:r>
      <w:r>
        <w:t xml:space="preserve">units by the stipulated date shall entitle the buyer to a penalty of 0.5% of the total Purchase Order value per day of delay, up to a maximum of 10%.</w:t>
      </w:r>
    </w:p>
    <w:p>
      <w:pPr>
        <w:numPr>
          <w:ilvl w:val="0"/>
          <w:numId w:val="1002"/>
        </w:numPr>
        <w:pStyle w:val="Compact"/>
      </w:pPr>
      <w:r>
        <w:t xml:space="preserve">The supplier shall provide all necessary documentation, including certificates of origin, test reports, user manuals in English and Bahasa Malaysia, and electrical compliance certificates for the</w:t>
      </w:r>
      <w:r>
        <w:t xml:space="preserve"> </w:t>
      </w:r>
      <w:r>
        <w:rPr>
          <w:bCs/>
          <w:b/>
        </w:rPr>
        <w:t xml:space="preserve">Welder</w:t>
      </w:r>
      <w:r>
        <w:t xml:space="preserve"> </w:t>
      </w:r>
      <w:r>
        <w:t xml:space="preserve">units.</w:t>
      </w:r>
    </w:p>
    <w:p>
      <w:pPr>
        <w:numPr>
          <w:ilvl w:val="0"/>
          <w:numId w:val="1002"/>
        </w:numPr>
        <w:pStyle w:val="Compact"/>
      </w:pPr>
      <w:r>
        <w:t xml:space="preserve">Force majeure events, including but not limited to natural disasters, government-imposed restrictions, or port closures affecting the Malaysia Kuala Lumpur region, shall be addressed through mutual consultation between the parties.</w:t>
      </w:r>
    </w:p>
    <w:p>
      <w:pPr>
        <w:numPr>
          <w:ilvl w:val="0"/>
          <w:numId w:val="1002"/>
        </w:numPr>
        <w:pStyle w:val="Compact"/>
      </w:pPr>
      <w:r>
        <w:t xml:space="preserve">Governing law for this Purchase Order shall be the laws of Malaysia. Any disputes arising from this Purchase Order shall be resolved through arbitration in Kuala Lumpur in accordance with the rules of the Asian International Arbitration Centre (AIAC).</w:t>
      </w:r>
    </w:p>
    <w:p>
      <w:pPr>
        <w:pStyle w:val="FirstParagraph"/>
      </w:pPr>
      <w:r>
        <w:rPr>
          <w:bCs/>
          <w:b/>
        </w:rPr>
        <w:t xml:space="preserve">Note:</w:t>
      </w:r>
      <w:r>
        <w:t xml:space="preserve"> </w:t>
      </w:r>
      <w:r>
        <w:t xml:space="preserve">This Purchase Order is specifically for the procurement of industrial-grade</w:t>
      </w:r>
      <w:r>
        <w:t xml:space="preserve"> </w:t>
      </w:r>
      <w:r>
        <w:rPr>
          <w:bCs/>
          <w:b/>
        </w:rPr>
        <w:t xml:space="preserve">Welder</w:t>
      </w:r>
      <w:r>
        <w:t xml:space="preserve"> </w:t>
      </w:r>
      <w:r>
        <w:t xml:space="preserve">equipment intended for structural steel fabrication, pressure vessel manufacturing, and general metalworking operations at the buyer's facility in</w:t>
      </w:r>
      <w:r>
        <w:t xml:space="preserve"> </w:t>
      </w:r>
      <w:r>
        <w:rPr>
          <w:bCs/>
          <w:b/>
        </w:rPr>
        <w:t xml:space="preserve">Malaysia Kuala Lumpur</w:t>
      </w:r>
      <w:r>
        <w:t xml:space="preserve">. All</w:t>
      </w:r>
      <w:r>
        <w:t xml:space="preserve"> </w:t>
      </w:r>
      <w:r>
        <w:rPr>
          <w:bCs/>
          <w:b/>
        </w:rPr>
        <w:t xml:space="preserve">Welder</w:t>
      </w:r>
      <w:r>
        <w:t xml:space="preserve"> </w:t>
      </w:r>
      <w:r>
        <w:t xml:space="preserve">units must be configured for 3-phase 380V power supply as per the local electrical infrastructure standards in the Malaysia Kuala Lumpur industrial zone.</w:t>
      </w:r>
    </w:p>
    <w:p>
      <w:pPr>
        <w:pStyle w:val="BodyText"/>
      </w:pPr>
      <w:r>
        <w:t xml:space="preserve">8. Authorization and Acceptance</w:t>
      </w:r>
    </w:p>
    <w:p>
      <w:pPr>
        <w:pStyle w:val="BodyText"/>
      </w:pPr>
      <w:r>
        <w:rPr>
          <w:bCs/>
          <w:b/>
        </w:rPr>
        <w:t xml:space="preserve">For and on behalf of the Buyer:</w:t>
      </w:r>
    </w:p>
    <w:p>
      <w:pPr>
        <w:pStyle w:val="BodyText"/>
      </w:pPr>
      <w:r>
        <w:t xml:space="preserve">Selangor Industrial Fabrication Sdn. Bhd.</w:t>
      </w:r>
    </w:p>
    <w:p>
      <w:pPr>
        <w:pStyle w:val="BodyText"/>
      </w:pPr>
      <w:r>
        <w:t xml:space="preserve">Name: Mr. Ahmad Faizal bin Rahman</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Supplier:</w:t>
      </w:r>
    </w:p>
    <w:p>
      <w:pPr>
        <w:pStyle w:val="BodyText"/>
      </w:pPr>
      <w:r>
        <w:t xml:space="preserve">Pacific Welding Solutions Pte. Ltd.</w:t>
      </w:r>
    </w:p>
    <w:p>
      <w:pPr>
        <w:pStyle w:val="BodyText"/>
      </w:pPr>
      <w:r>
        <w:t xml:space="preserve">Name: Ms. Tan Wei Ling</w:t>
      </w:r>
      <w:r>
        <w:br/>
      </w:r>
      <w:r>
        <w:t xml:space="preserve">Title: Regional Sales Director</w:t>
      </w:r>
      <w:r>
        <w:br/>
      </w:r>
      <w:r>
        <w:t xml:space="preserve">Signature: _________________________</w:t>
      </w:r>
      <w:r>
        <w:br/>
      </w:r>
      <w:r>
        <w:t xml:space="preserve">Date: _________________________</w:t>
      </w:r>
    </w:p>
    <w:p>
      <w:pPr>
        <w:pStyle w:val="BodyText"/>
      </w:pPr>
      <w:r>
        <w:t xml:space="preserve">This Purchase Order document (PO-ML-2025-00472) is issued for the procurement of</w:t>
      </w:r>
      <w:r>
        <w:t xml:space="preserve"> </w:t>
      </w:r>
      <w:r>
        <w:rPr>
          <w:bCs/>
          <w:b/>
        </w:rPr>
        <w:t xml:space="preserve">Welder</w:t>
      </w:r>
      <w:r>
        <w:t xml:space="preserve"> </w:t>
      </w:r>
      <w:r>
        <w:t xml:space="preserve">equipment for use in</w:t>
      </w:r>
      <w:r>
        <w:t xml:space="preserve"> </w:t>
      </w:r>
      <w:r>
        <w:rPr>
          <w:bCs/>
          <w:b/>
        </w:rPr>
        <w:t xml:space="preserve">Malaysia Kuala Lumpur</w:t>
      </w:r>
      <w:r>
        <w:t xml:space="preserve">. This document is confidential and intended solely for the named parties. Unauthorized reproduction or distribution is prohibited. © 2025 Selangor Industrial Fabrication Sdn. Bhd.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Malaysia Kuala Lumpur</dc:title>
  <dc:creator/>
  <dc:language>en</dc:language>
  <cp:keywords/>
  <dcterms:created xsi:type="dcterms:W3CDTF">2026-10-10T10:20:57Z</dcterms:created>
  <dcterms:modified xsi:type="dcterms:W3CDTF">2026-10-10T10:20:57Z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