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Academic</w:t>
      </w:r>
      <w:r>
        <w:t xml:space="preserve"> </w:t>
      </w:r>
      <w:r>
        <w:t xml:space="preserve">Researcher</w:t>
      </w:r>
      <w:r>
        <w:t xml:space="preserve"> </w:t>
      </w:r>
      <w:r>
        <w:t xml:space="preserve">Services</w:t>
      </w:r>
      <w:r>
        <w:t xml:space="preserve"> </w:t>
      </w:r>
      <w:r>
        <w:t xml:space="preserve">-</w:t>
      </w:r>
      <w:r>
        <w:t xml:space="preserve"> </w:t>
      </w:r>
      <w:r>
        <w:t xml:space="preserve">Australia</w:t>
      </w:r>
      <w:r>
        <w:t xml:space="preserve"> </w:t>
      </w:r>
      <w:r>
        <w:t xml:space="preserve">Melbourne</w:t>
      </w:r>
    </w:p>
    <w:bookmarkStart w:id="20" w:name="quotation-estimate"/>
    <w:p>
      <w:pPr>
        <w:pStyle w:val="Heading1"/>
      </w:pPr>
      <w:r>
        <w:t xml:space="preserve">QUOTATION ESTIMATE</w:t>
      </w:r>
    </w:p>
    <w:p>
      <w:pPr>
        <w:pStyle w:val="FirstParagraph"/>
      </w:pPr>
      <w:r>
        <w:rPr>
          <w:bCs/>
          <w:b/>
        </w:rPr>
        <w:t xml:space="preserve">Meridian Research &amp; Analytics Pty Ltd</w:t>
      </w:r>
    </w:p>
    <w:p>
      <w:pPr>
        <w:pStyle w:val="BodyText"/>
      </w:pPr>
      <w:r>
        <w:t xml:space="preserve">Level 12, 333 Collins Street, Melbourne VIC 3000, Australia</w:t>
      </w:r>
    </w:p>
    <w:p>
      <w:pPr>
        <w:pStyle w:val="BodyText"/>
      </w:pPr>
      <w:r>
        <w:t xml:space="preserve">ABN: 48 215 673 901 | Phone: +61 3 9421 5580 | Email: enquiries@meridianresearch.com.au</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QTE-2025-MEL-0472</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calendar days)</w:t>
            </w:r>
          </w:p>
        </w:tc>
      </w:tr>
      <w:tr>
        <w:tc>
          <w:tcPr/>
          <w:p>
            <w:pPr>
              <w:pStyle w:val="Compact"/>
              <w:jc w:val="left"/>
            </w:pPr>
            <w:r>
              <w:t xml:space="preserve">Prepared For</w:t>
            </w:r>
          </w:p>
        </w:tc>
        <w:tc>
          <w:tcPr/>
          <w:p>
            <w:pPr>
              <w:pStyle w:val="Compact"/>
              <w:jc w:val="left"/>
            </w:pPr>
            <w:r>
              <w:t xml:space="preserve">Dr. Eleanor Whitfield, Head of Research Division, University of Melbourne, Parkville VIC 3010, Australia Melbourne</w:t>
            </w:r>
          </w:p>
        </w:tc>
      </w:tr>
      <w:tr>
        <w:tc>
          <w:tcPr/>
          <w:p>
            <w:pPr>
              <w:pStyle w:val="Compact"/>
              <w:jc w:val="left"/>
            </w:pPr>
            <w:r>
              <w:t xml:space="preserve">Prepared By</w:t>
            </w:r>
          </w:p>
        </w:tc>
        <w:tc>
          <w:tcPr/>
          <w:p>
            <w:pPr>
              <w:pStyle w:val="Compact"/>
              <w:jc w:val="left"/>
            </w:pPr>
            <w:r>
              <w:t xml:space="preserve">James Okafor, Senior Account Manager, Meridian Research &amp; Analytics Pty Ltd</w:t>
            </w:r>
          </w:p>
        </w:tc>
      </w:tr>
      <w:tr>
        <w:tc>
          <w:tcPr/>
          <w:p>
            <w:pPr>
              <w:pStyle w:val="Compact"/>
              <w:jc w:val="left"/>
            </w:pPr>
            <w:r>
              <w:t xml:space="preserve">Project Reference</w:t>
            </w:r>
          </w:p>
        </w:tc>
        <w:tc>
          <w:tcPr/>
          <w:p>
            <w:pPr>
              <w:pStyle w:val="Compact"/>
              <w:jc w:val="left"/>
            </w:pPr>
            <w:r>
              <w:t xml:space="preserve">AR-2025-MELB-019 – Longitudinal Study on Urban Sustainability in Australia Melbourne</w:t>
            </w:r>
          </w:p>
        </w:tc>
      </w:tr>
    </w:tbl>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has been prepared by Meridian Research &amp; Analytics Pty Ltd in response to the formal request for services submitted by the University of Melbourne Research Division. The purpose of this document is to provide a comprehensive, itemised financial estimate for the engagement of a qualified</w:t>
      </w:r>
      <w:r>
        <w:t xml:space="preserve"> </w:t>
      </w:r>
      <w:r>
        <w:t xml:space="preserve">Academic Researcher</w:t>
      </w:r>
      <w:r>
        <w:t xml:space="preserve"> </w:t>
      </w:r>
      <w:r>
        <w:t xml:space="preserve">to support a multi-phase longitudinal study focused on urban sustainability, environmental policy, and community resilience within the greater</w:t>
      </w:r>
      <w:r>
        <w:t xml:space="preserve"> </w:t>
      </w:r>
      <w:r>
        <w:t xml:space="preserve">Australia Melbourne</w:t>
      </w:r>
      <w:r>
        <w:t xml:space="preserve"> </w:t>
      </w:r>
      <w:r>
        <w:t xml:space="preserve">metropolitan region.</w:t>
      </w:r>
    </w:p>
    <w:p>
      <w:pPr>
        <w:pStyle w:val="BodyText"/>
      </w:pPr>
      <w:r>
        <w:t xml:space="preserve">The</w:t>
      </w:r>
      <w:r>
        <w:t xml:space="preserve"> </w:t>
      </w:r>
      <w:r>
        <w:t xml:space="preserve">Academic Researcher</w:t>
      </w:r>
      <w:r>
        <w:t xml:space="preserve"> </w:t>
      </w:r>
      <w:r>
        <w:t xml:space="preserve">proposed for this engagement holds a Doctorate in Environmental Science from the University of Melbourne, possesses over twelve years of peer-reviewed publication experience, and has previously led research projects funded by the Australian Research Council (ARC) and the National Health and Medical Research Council (NHMRC). The researcher will be based at the Parkville campus in</w:t>
      </w:r>
      <w:r>
        <w:t xml:space="preserve"> </w:t>
      </w:r>
      <w:r>
        <w:t xml:space="preserve">Australia Melbourne</w:t>
      </w:r>
      <w:r>
        <w:t xml:space="preserve"> </w:t>
      </w:r>
      <w:r>
        <w:t xml:space="preserve">and will operate under the direct academic supervision of the Principal Investigator.</w:t>
      </w:r>
    </w:p>
    <w:bookmarkEnd w:id="21"/>
    <w:bookmarkStart w:id="22" w:name="detailed-scope-of-services"/>
    <w:p>
      <w:pPr>
        <w:pStyle w:val="Heading2"/>
      </w:pPr>
      <w:r>
        <w:t xml:space="preserve">2. Detailed Scope of Services</w:t>
      </w:r>
    </w:p>
    <w:p>
      <w:pPr>
        <w:pStyle w:val="FirstParagraph"/>
      </w:pPr>
      <w:r>
        <w:t xml:space="preserve">The</w:t>
      </w:r>
      <w:r>
        <w:t xml:space="preserve"> </w:t>
      </w:r>
      <w:r>
        <w:t xml:space="preserve">Academic Researcher</w:t>
      </w:r>
      <w:r>
        <w:t xml:space="preserve"> </w:t>
      </w:r>
      <w:r>
        <w:t xml:space="preserve">will deliver the following services over a twelve-month engagement period commencing 1 August 2025:</w:t>
      </w:r>
    </w:p>
    <w:p>
      <w:pPr>
        <w:numPr>
          <w:ilvl w:val="0"/>
          <w:numId w:val="1001"/>
        </w:numPr>
        <w:pStyle w:val="Compact"/>
      </w:pPr>
      <w:r>
        <w:rPr>
          <w:bCs/>
          <w:b/>
        </w:rPr>
        <w:t xml:space="preserve">Phase 1 – Literature Review &amp; Methodology Design (Months 1–3):</w:t>
      </w:r>
      <w:r>
        <w:t xml:space="preserve"> </w:t>
      </w:r>
      <w:r>
        <w:t xml:space="preserve">Conduct a systematic review of existing literature on urban sustainability in</w:t>
      </w:r>
      <w:r>
        <w:t xml:space="preserve"> </w:t>
      </w:r>
      <w:r>
        <w:t xml:space="preserve">Australia Melbourne</w:t>
      </w:r>
      <w:r>
        <w:t xml:space="preserve">, develop a mixed-methods research framework, and prepare ethics approval submissions to the University of Melbourne Human Research Ethics Committee (HREC).</w:t>
      </w:r>
    </w:p>
    <w:p>
      <w:pPr>
        <w:numPr>
          <w:ilvl w:val="0"/>
          <w:numId w:val="1001"/>
        </w:numPr>
        <w:pStyle w:val="Compact"/>
      </w:pPr>
      <w:r>
        <w:rPr>
          <w:bCs/>
          <w:b/>
        </w:rPr>
        <w:t xml:space="preserve">Phase 2 – Data Collection &amp; Fieldwork (Months 4–8):</w:t>
      </w:r>
      <w:r>
        <w:t xml:space="preserve"> </w:t>
      </w:r>
      <w:r>
        <w:t xml:space="preserve">Execute primary data collection across six (6) local government areas within</w:t>
      </w:r>
      <w:r>
        <w:t xml:space="preserve"> </w:t>
      </w:r>
      <w:r>
        <w:t xml:space="preserve">Australia Melbourne</w:t>
      </w:r>
      <w:r>
        <w:t xml:space="preserve">, including structured interviews with a minimum of 200 participants, environmental sensor data acquisition, and secondary data retrieval from the Victorian Government Open Data Portal.</w:t>
      </w:r>
    </w:p>
    <w:p>
      <w:pPr>
        <w:numPr>
          <w:ilvl w:val="0"/>
          <w:numId w:val="1001"/>
        </w:numPr>
        <w:pStyle w:val="Compact"/>
      </w:pPr>
      <w:r>
        <w:rPr>
          <w:bCs/>
          <w:b/>
        </w:rPr>
        <w:t xml:space="preserve">Phase 3 – Analysis &amp; Interpretation (Months 9–11):</w:t>
      </w:r>
      <w:r>
        <w:t xml:space="preserve"> </w:t>
      </w:r>
      <w:r>
        <w:t xml:space="preserve">Perform quantitative statistical analysis using SPSS and R, conduct thematic qualitative coding, and synthesise findings into a coherent analytical narrative relevant to</w:t>
      </w:r>
      <w:r>
        <w:t xml:space="preserve"> </w:t>
      </w:r>
      <w:r>
        <w:t xml:space="preserve">Australia Melbourne</w:t>
      </w:r>
      <w:r>
        <w:t xml:space="preserve"> </w:t>
      </w:r>
      <w:r>
        <w:t xml:space="preserve">policy stakeholders.</w:t>
      </w:r>
    </w:p>
    <w:p>
      <w:pPr>
        <w:numPr>
          <w:ilvl w:val="0"/>
          <w:numId w:val="1001"/>
        </w:numPr>
        <w:pStyle w:val="Compact"/>
      </w:pPr>
      <w:r>
        <w:rPr>
          <w:bCs/>
          <w:b/>
        </w:rPr>
        <w:t xml:space="preserve">Phase 4 – Reporting &amp; Dissemination (Month 12):</w:t>
      </w:r>
      <w:r>
        <w:t xml:space="preserve"> </w:t>
      </w:r>
      <w:r>
        <w:t xml:space="preserve">Prepare a final research report (minimum 60 pages), draft two (2) peer-reviewed journal articles, and present findings at the annual Australian Academy of Social Sciences conference held in</w:t>
      </w:r>
      <w:r>
        <w:t xml:space="preserve"> </w:t>
      </w:r>
      <w:r>
        <w:t xml:space="preserve">Australia Melbourne</w:t>
      </w:r>
      <w:r>
        <w:t xml:space="preserve">.</w:t>
      </w:r>
    </w:p>
    <w:bookmarkEnd w:id="22"/>
    <w:bookmarkStart w:id="23" w:name="itemised-cost-breakdown"/>
    <w:p>
      <w:pPr>
        <w:pStyle w:val="Heading2"/>
      </w:pPr>
      <w:r>
        <w:t xml:space="preserve">3.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Rate (AUD)</w:t>
            </w:r>
          </w:p>
        </w:tc>
        <w:tc>
          <w:tcPr/>
          <w:p>
            <w:pPr>
              <w:pStyle w:val="Compact"/>
              <w:jc w:val="left"/>
            </w:pPr>
            <w:r>
              <w:t xml:space="preserve">Amount (AUD)</w:t>
            </w:r>
          </w:p>
        </w:tc>
      </w:tr>
      <w:tr>
        <w:tc>
          <w:tcPr/>
          <w:p>
            <w:pPr>
              <w:pStyle w:val="Compact"/>
              <w:jc w:val="left"/>
            </w:pPr>
            <w:r>
              <w:t xml:space="preserve">1.1</w:t>
            </w:r>
          </w:p>
        </w:tc>
        <w:tc>
          <w:tcPr/>
          <w:p>
            <w:pPr>
              <w:pStyle w:val="Compact"/>
              <w:jc w:val="left"/>
            </w:pPr>
            <w:r>
              <w:t xml:space="preserve">Academic Researcher – Senior Research Fellow (PhD) – Professional Fees</w:t>
            </w:r>
          </w:p>
        </w:tc>
        <w:tc>
          <w:tcPr/>
          <w:p>
            <w:pPr>
              <w:pStyle w:val="Compact"/>
              <w:jc w:val="left"/>
            </w:pPr>
            <w:r>
              <w:t xml:space="preserve">12 months</w:t>
            </w:r>
          </w:p>
        </w:tc>
        <w:tc>
          <w:tcPr/>
          <w:p>
            <w:pPr>
              <w:pStyle w:val="Compact"/>
              <w:jc w:val="left"/>
            </w:pPr>
            <w:r>
              <w:t xml:space="preserve">$14,500 / month</w:t>
            </w:r>
          </w:p>
        </w:tc>
        <w:tc>
          <w:tcPr/>
          <w:p>
            <w:pPr>
              <w:pStyle w:val="Compact"/>
              <w:jc w:val="left"/>
            </w:pPr>
            <w:r>
              <w:t xml:space="preserve">$174,000.00</w:t>
            </w:r>
          </w:p>
        </w:tc>
      </w:tr>
      <w:tr>
        <w:tc>
          <w:tcPr/>
          <w:p>
            <w:pPr>
              <w:pStyle w:val="Compact"/>
              <w:jc w:val="left"/>
            </w:pPr>
            <w:r>
              <w:t xml:space="preserve">1.2</w:t>
            </w:r>
          </w:p>
        </w:tc>
        <w:tc>
          <w:tcPr/>
          <w:p>
            <w:pPr>
              <w:pStyle w:val="Compact"/>
              <w:jc w:val="left"/>
            </w:pPr>
            <w:r>
              <w:t xml:space="preserve">Academic Researcher – Supervisory &amp; Mentorship Allowance</w:t>
            </w:r>
          </w:p>
        </w:tc>
        <w:tc>
          <w:tcPr/>
          <w:p>
            <w:pPr>
              <w:pStyle w:val="Compact"/>
              <w:jc w:val="left"/>
            </w:pPr>
            <w:r>
              <w:t xml:space="preserve">12 months</w:t>
            </w:r>
          </w:p>
        </w:tc>
        <w:tc>
          <w:tcPr/>
          <w:p>
            <w:pPr>
              <w:pStyle w:val="Compact"/>
              <w:jc w:val="left"/>
            </w:pPr>
            <w:r>
              <w:t xml:space="preserve">$2,200 / month</w:t>
            </w:r>
          </w:p>
        </w:tc>
        <w:tc>
          <w:tcPr/>
          <w:p>
            <w:pPr>
              <w:pStyle w:val="Compact"/>
              <w:jc w:val="left"/>
            </w:pPr>
            <w:r>
              <w:t xml:space="preserve">$26,400.00</w:t>
            </w:r>
          </w:p>
        </w:tc>
      </w:tr>
      <w:tr>
        <w:tc>
          <w:tcPr/>
          <w:p>
            <w:pPr>
              <w:pStyle w:val="Compact"/>
              <w:jc w:val="left"/>
            </w:pPr>
            <w:r>
              <w:t xml:space="preserve">2.1</w:t>
            </w:r>
          </w:p>
        </w:tc>
        <w:tc>
          <w:tcPr/>
          <w:p>
            <w:pPr>
              <w:pStyle w:val="Compact"/>
              <w:jc w:val="left"/>
            </w:pPr>
            <w:r>
              <w:t xml:space="preserve">Fieldwork Travel &amp; Accommodation (within Australia Melbourne metro)</w:t>
            </w:r>
          </w:p>
        </w:tc>
        <w:tc>
          <w:tcPr/>
          <w:p>
            <w:pPr>
              <w:pStyle w:val="Compact"/>
              <w:jc w:val="left"/>
            </w:pPr>
            <w:r>
              <w:t xml:space="preserve">5 months</w:t>
            </w:r>
          </w:p>
        </w:tc>
        <w:tc>
          <w:tcPr/>
          <w:p>
            <w:pPr>
              <w:pStyle w:val="Compact"/>
              <w:jc w:val="left"/>
            </w:pPr>
            <w:r>
              <w:t xml:space="preserve">$3,800 / month</w:t>
            </w:r>
          </w:p>
        </w:tc>
        <w:tc>
          <w:tcPr/>
          <w:p>
            <w:pPr>
              <w:pStyle w:val="Compact"/>
              <w:jc w:val="left"/>
            </w:pPr>
            <w:r>
              <w:t xml:space="preserve">$19,000.00</w:t>
            </w:r>
          </w:p>
        </w:tc>
      </w:tr>
      <w:tr>
        <w:tc>
          <w:tcPr/>
          <w:p>
            <w:pPr>
              <w:pStyle w:val="Compact"/>
              <w:jc w:val="left"/>
            </w:pPr>
            <w:r>
              <w:t xml:space="preserve">2.2</w:t>
            </w:r>
          </w:p>
        </w:tc>
        <w:tc>
          <w:tcPr/>
          <w:p>
            <w:pPr>
              <w:pStyle w:val="Compact"/>
              <w:jc w:val="left"/>
            </w:pPr>
            <w:r>
              <w:t xml:space="preserve">Participant Incentives &amp; Consent Administration (200 participants)</w:t>
            </w:r>
          </w:p>
        </w:tc>
        <w:tc>
          <w:tcPr/>
          <w:p>
            <w:pPr>
              <w:pStyle w:val="Compact"/>
              <w:jc w:val="left"/>
            </w:pPr>
            <w:r>
              <w:t xml:space="preserve">One-off</w:t>
            </w:r>
          </w:p>
        </w:tc>
        <w:tc>
          <w:tcPr/>
          <w:p>
            <w:pPr>
              <w:pStyle w:val="Compact"/>
              <w:jc w:val="left"/>
            </w:pPr>
            <w:r>
              <w:t xml:space="preserve">—</w:t>
            </w:r>
          </w:p>
        </w:tc>
        <w:tc>
          <w:tcPr/>
          <w:p>
            <w:pPr>
              <w:pStyle w:val="Compact"/>
              <w:jc w:val="left"/>
            </w:pPr>
            <w:r>
              <w:t xml:space="preserve">$12,000.00</w:t>
            </w:r>
          </w:p>
        </w:tc>
      </w:tr>
      <w:tr>
        <w:tc>
          <w:tcPr/>
          <w:p>
            <w:pPr>
              <w:pStyle w:val="Compact"/>
              <w:jc w:val="left"/>
            </w:pPr>
            <w:r>
              <w:t xml:space="preserve">3.1</w:t>
            </w:r>
          </w:p>
        </w:tc>
        <w:tc>
          <w:tcPr/>
          <w:p>
            <w:pPr>
              <w:pStyle w:val="Compact"/>
              <w:jc w:val="left"/>
            </w:pPr>
            <w:r>
              <w:t xml:space="preserve">Software Licences (SPSS, NVivo, R Studio, GIS tools)</w:t>
            </w:r>
          </w:p>
        </w:tc>
        <w:tc>
          <w:tcPr/>
          <w:p>
            <w:pPr>
              <w:pStyle w:val="Compact"/>
              <w:jc w:val="left"/>
            </w:pPr>
            <w:r>
              <w:t xml:space="preserve">12 months</w:t>
            </w:r>
          </w:p>
        </w:tc>
        <w:tc>
          <w:tcPr/>
          <w:p>
            <w:pPr>
              <w:pStyle w:val="Compact"/>
              <w:jc w:val="left"/>
            </w:pPr>
            <w:r>
              <w:t xml:space="preserve">—</w:t>
            </w:r>
          </w:p>
        </w:tc>
        <w:tc>
          <w:tcPr/>
          <w:p>
            <w:pPr>
              <w:pStyle w:val="Compact"/>
              <w:jc w:val="left"/>
            </w:pPr>
            <w:r>
              <w:t xml:space="preserve">$8,750.00</w:t>
            </w:r>
          </w:p>
        </w:tc>
      </w:tr>
      <w:tr>
        <w:tc>
          <w:tcPr/>
          <w:p>
            <w:pPr>
              <w:pStyle w:val="Compact"/>
              <w:jc w:val="left"/>
            </w:pPr>
            <w:r>
              <w:t xml:space="preserve">3.2</w:t>
            </w:r>
          </w:p>
        </w:tc>
        <w:tc>
          <w:tcPr/>
          <w:p>
            <w:pPr>
              <w:pStyle w:val="Compact"/>
              <w:jc w:val="left"/>
            </w:pPr>
            <w:r>
              <w:t xml:space="preserve">Environmental Sensor Equipment Hire &amp; Calibration</w:t>
            </w:r>
          </w:p>
        </w:tc>
        <w:tc>
          <w:tcPr/>
          <w:p>
            <w:pPr>
              <w:pStyle w:val="Compact"/>
              <w:jc w:val="left"/>
            </w:pPr>
            <w:r>
              <w:t xml:space="preserve">5 months</w:t>
            </w:r>
          </w:p>
        </w:tc>
        <w:tc>
          <w:tcPr/>
          <w:p>
            <w:pPr>
              <w:pStyle w:val="Compact"/>
              <w:jc w:val="left"/>
            </w:pPr>
            <w:r>
              <w:t xml:space="preserve">—</w:t>
            </w:r>
          </w:p>
        </w:tc>
        <w:tc>
          <w:tcPr/>
          <w:p>
            <w:pPr>
              <w:pStyle w:val="Compact"/>
              <w:jc w:val="left"/>
            </w:pPr>
            <w:r>
              <w:t xml:space="preserve">$15,200.00</w:t>
            </w:r>
          </w:p>
        </w:tc>
      </w:tr>
      <w:tr>
        <w:tc>
          <w:tcPr/>
          <w:p>
            <w:pPr>
              <w:pStyle w:val="Compact"/>
              <w:jc w:val="left"/>
            </w:pPr>
            <w:r>
              <w:t xml:space="preserve">4.1</w:t>
            </w:r>
          </w:p>
        </w:tc>
        <w:tc>
          <w:tcPr/>
          <w:p>
            <w:pPr>
              <w:pStyle w:val="Compact"/>
              <w:jc w:val="left"/>
            </w:pPr>
            <w:r>
              <w:t xml:space="preserve">Peer-Review Journal Publication Fees (2 articles)</w:t>
            </w:r>
          </w:p>
        </w:tc>
        <w:tc>
          <w:tcPr/>
          <w:p>
            <w:pPr>
              <w:pStyle w:val="Compact"/>
              <w:jc w:val="left"/>
            </w:pPr>
            <w:r>
              <w:t xml:space="preserve">One-off</w:t>
            </w:r>
          </w:p>
        </w:tc>
        <w:tc>
          <w:tcPr/>
          <w:p>
            <w:pPr>
              <w:pStyle w:val="Compact"/>
              <w:jc w:val="left"/>
            </w:pPr>
            <w:r>
              <w:t xml:space="preserve">—</w:t>
            </w:r>
          </w:p>
        </w:tc>
        <w:tc>
          <w:tcPr/>
          <w:p>
            <w:pPr>
              <w:pStyle w:val="Compact"/>
              <w:jc w:val="left"/>
            </w:pPr>
            <w:r>
              <w:t xml:space="preserve">$6,800.00</w:t>
            </w:r>
          </w:p>
        </w:tc>
      </w:tr>
      <w:tr>
        <w:tc>
          <w:tcPr/>
          <w:p>
            <w:pPr>
              <w:pStyle w:val="Compact"/>
              <w:jc w:val="left"/>
            </w:pPr>
            <w:r>
              <w:t xml:space="preserve">4.2</w:t>
            </w:r>
          </w:p>
        </w:tc>
        <w:tc>
          <w:tcPr/>
          <w:p>
            <w:pPr>
              <w:pStyle w:val="Compact"/>
              <w:jc w:val="left"/>
            </w:pPr>
            <w:r>
              <w:t xml:space="preserve">Conference Registration &amp; Travel (AASS Annual, Melbourne)</w:t>
            </w:r>
          </w:p>
        </w:tc>
        <w:tc>
          <w:tcPr/>
          <w:p>
            <w:pPr>
              <w:pStyle w:val="Compact"/>
              <w:jc w:val="left"/>
            </w:pPr>
            <w:r>
              <w:t xml:space="preserve">One-off</w:t>
            </w:r>
          </w:p>
        </w:tc>
        <w:tc>
          <w:tcPr/>
          <w:p>
            <w:pPr>
              <w:pStyle w:val="Compact"/>
              <w:jc w:val="left"/>
            </w:pPr>
            <w:r>
              <w:t xml:space="preserve">—</w:t>
            </w:r>
          </w:p>
        </w:tc>
        <w:tc>
          <w:tcPr/>
          <w:p>
            <w:pPr>
              <w:pStyle w:val="Compact"/>
              <w:jc w:val="left"/>
            </w:pPr>
            <w:r>
              <w:t xml:space="preserve">$3,450.00</w:t>
            </w:r>
          </w:p>
        </w:tc>
      </w:tr>
      <w:tr>
        <w:tc>
          <w:tcPr/>
          <w:p>
            <w:pPr>
              <w:pStyle w:val="Compact"/>
              <w:jc w:val="left"/>
            </w:pPr>
            <w:r>
              <w:t xml:space="preserve">5.1</w:t>
            </w:r>
          </w:p>
        </w:tc>
        <w:tc>
          <w:tcPr/>
          <w:p>
            <w:pPr>
              <w:pStyle w:val="Compact"/>
              <w:jc w:val="left"/>
            </w:pPr>
            <w:r>
              <w:t xml:space="preserve">Project Management &amp; Administrative Support (15% of professional fees)</w:t>
            </w:r>
          </w:p>
        </w:tc>
        <w:tc>
          <w:tcPr/>
          <w:p>
            <w:pPr>
              <w:pStyle w:val="Compact"/>
              <w:jc w:val="left"/>
            </w:pPr>
            <w:r>
              <w:t xml:space="preserve">12 months</w:t>
            </w:r>
          </w:p>
        </w:tc>
        <w:tc>
          <w:tcPr/>
          <w:p>
            <w:pPr>
              <w:pStyle w:val="Compact"/>
              <w:jc w:val="left"/>
            </w:pPr>
            <w:r>
              <w:t xml:space="preserve">—</w:t>
            </w:r>
          </w:p>
        </w:tc>
        <w:tc>
          <w:tcPr/>
          <w:p>
            <w:pPr>
              <w:pStyle w:val="Compact"/>
              <w:jc w:val="left"/>
            </w:pPr>
            <w:r>
              <w:t xml:space="preserve">$26,100.00</w:t>
            </w:r>
          </w:p>
        </w:tc>
      </w:tr>
      <w:tr>
        <w:tc>
          <w:tcPr>
            <w:gridSpan w:val="4"/>
          </w:tcPr>
          <w:p>
            <w:pPr>
              <w:pStyle w:val="Compact"/>
              <w:jc w:val="left"/>
            </w:pPr>
            <w:r>
              <w:rPr>
                <w:bCs/>
                <w:b/>
              </w:rPr>
              <w:t xml:space="preserve">Subtotal (excl. GST)</w:t>
            </w:r>
          </w:p>
        </w:tc>
        <w:tc>
          <w:tcPr/>
          <w:p>
            <w:pPr>
              <w:pStyle w:val="Compact"/>
              <w:jc w:val="left"/>
            </w:pPr>
            <w:r>
              <w:rPr>
                <w:bCs/>
                <w:b/>
              </w:rPr>
              <w:t xml:space="preserve">$291,700.00</w:t>
            </w:r>
          </w:p>
        </w:tc>
      </w:tr>
      <w:tr>
        <w:tc>
          <w:tcPr>
            <w:gridSpan w:val="4"/>
          </w:tcPr>
          <w:p>
            <w:pPr>
              <w:pStyle w:val="Compact"/>
              <w:jc w:val="left"/>
            </w:pPr>
            <w:r>
              <w:rPr>
                <w:bCs/>
                <w:b/>
              </w:rPr>
              <w:t xml:space="preserve">GST (10%)</w:t>
            </w:r>
          </w:p>
        </w:tc>
        <w:tc>
          <w:tcPr/>
          <w:p>
            <w:pPr>
              <w:pStyle w:val="Compact"/>
              <w:jc w:val="left"/>
            </w:pPr>
            <w:r>
              <w:rPr>
                <w:bCs/>
                <w:b/>
              </w:rPr>
              <w:t xml:space="preserve">$29,170.00</w:t>
            </w:r>
          </w:p>
        </w:tc>
      </w:tr>
      <w:tr>
        <w:tc>
          <w:tcPr>
            <w:gridSpan w:val="4"/>
          </w:tcPr>
          <w:p>
            <w:pPr>
              <w:pStyle w:val="Compact"/>
              <w:jc w:val="left"/>
            </w:pPr>
            <w:r>
              <w:rPr>
                <w:bCs/>
                <w:b/>
              </w:rPr>
              <w:t xml:space="preserve">TOTAL ESTIMATED COST (incl. GST)</w:t>
            </w:r>
          </w:p>
        </w:tc>
        <w:tc>
          <w:tcPr/>
          <w:p>
            <w:pPr>
              <w:pStyle w:val="Compact"/>
              <w:jc w:val="left"/>
            </w:pPr>
            <w:r>
              <w:rPr>
                <w:bCs/>
                <w:b/>
              </w:rPr>
              <w:t xml:space="preserve">$320,870.00</w:t>
            </w:r>
          </w:p>
        </w:tc>
      </w:tr>
    </w:tbl>
    <w:bookmarkEnd w:id="23"/>
    <w:bookmarkStart w:id="24" w:name="payment-schedule"/>
    <w:p>
      <w:pPr>
        <w:pStyle w:val="Heading2"/>
      </w:pPr>
      <w:r>
        <w:t xml:space="preserve">4. Payment Schedule</w:t>
      </w:r>
    </w:p>
    <w:p>
      <w:pPr>
        <w:pStyle w:val="FirstParagraph"/>
      </w:pPr>
      <w:r>
        <w:t xml:space="preserve">Payment for the services outlined in this</w:t>
      </w:r>
      <w:r>
        <w:t xml:space="preserve"> </w:t>
      </w:r>
      <w:r>
        <w:t xml:space="preserve">Quotation Estimate</w:t>
      </w:r>
      <w:r>
        <w:t xml:space="preserve"> </w:t>
      </w:r>
      <w:r>
        <w:t xml:space="preserve">shall be made in quarterly instalments, due within thirty (30) days of invoice issuance. The schedule is as follows:</w:t>
      </w:r>
    </w:p>
    <w:p>
      <w:pPr>
        <w:numPr>
          <w:ilvl w:val="0"/>
          <w:numId w:val="1002"/>
        </w:numPr>
        <w:pStyle w:val="Compact"/>
      </w:pPr>
      <w:r>
        <w:rPr>
          <w:bCs/>
          <w:b/>
        </w:rPr>
        <w:t xml:space="preserve">Quarter 1 (Aug – Oct 2025):</w:t>
      </w:r>
      <w:r>
        <w:t xml:space="preserve"> </w:t>
      </w:r>
      <w:r>
        <w:t xml:space="preserve">$80,217.50 (including GST)</w:t>
      </w:r>
    </w:p>
    <w:p>
      <w:pPr>
        <w:numPr>
          <w:ilvl w:val="0"/>
          <w:numId w:val="1002"/>
        </w:numPr>
        <w:pStyle w:val="Compact"/>
      </w:pPr>
      <w:r>
        <w:rPr>
          <w:bCs/>
          <w:b/>
        </w:rPr>
        <w:t xml:space="preserve">Quarter 2 (Nov 2025 – Jan 2026):</w:t>
      </w:r>
      <w:r>
        <w:t xml:space="preserve"> </w:t>
      </w:r>
      <w:r>
        <w:t xml:space="preserve">$80,217.50 (including GST)</w:t>
      </w:r>
    </w:p>
    <w:p>
      <w:pPr>
        <w:numPr>
          <w:ilvl w:val="0"/>
          <w:numId w:val="1002"/>
        </w:numPr>
        <w:pStyle w:val="Compact"/>
      </w:pPr>
      <w:r>
        <w:rPr>
          <w:bCs/>
          <w:b/>
        </w:rPr>
        <w:t xml:space="preserve">Quarter 3 (Feb – Apr 2026):</w:t>
      </w:r>
      <w:r>
        <w:t xml:space="preserve"> </w:t>
      </w:r>
      <w:r>
        <w:t xml:space="preserve">$80,217.50 (including GST)</w:t>
      </w:r>
    </w:p>
    <w:p>
      <w:pPr>
        <w:numPr>
          <w:ilvl w:val="0"/>
          <w:numId w:val="1002"/>
        </w:numPr>
        <w:pStyle w:val="Compact"/>
      </w:pPr>
      <w:r>
        <w:rPr>
          <w:bCs/>
          <w:b/>
        </w:rPr>
        <w:t xml:space="preserve">Quarter 4 (May – Jul 2026):</w:t>
      </w:r>
      <w:r>
        <w:t xml:space="preserve"> </w:t>
      </w:r>
      <w:r>
        <w:t xml:space="preserve">$80,217.50 (including GST)</w:t>
      </w:r>
    </w:p>
    <w:bookmarkEnd w:id="24"/>
    <w:bookmarkStart w:id="25" w:name="terms-and-conditions"/>
    <w:p>
      <w:pPr>
        <w:pStyle w:val="Heading2"/>
      </w:pPr>
      <w:r>
        <w:t xml:space="preserve">5. Terms and Conditions</w:t>
      </w:r>
    </w:p>
    <w:p>
      <w:pPr>
        <w:numPr>
          <w:ilvl w:val="0"/>
          <w:numId w:val="1003"/>
        </w:numPr>
        <w:pStyle w:val="Compact"/>
      </w:pPr>
      <w:r>
        <w:t xml:space="preserve">This</w:t>
      </w:r>
      <w:r>
        <w:t xml:space="preserve"> </w:t>
      </w:r>
      <w:r>
        <w:t xml:space="preserve">Quotation Estimate</w:t>
      </w:r>
      <w:r>
        <w:t xml:space="preserve"> </w:t>
      </w:r>
      <w:r>
        <w:t xml:space="preserve">is valid for thirty (30) calendar days from the date of issue. Beyond this period, all rates and availability of the proposed</w:t>
      </w:r>
      <w:r>
        <w:t xml:space="preserve"> </w:t>
      </w:r>
      <w:r>
        <w:t xml:space="preserve">Academic Researcher</w:t>
      </w:r>
      <w:r>
        <w:t xml:space="preserve"> </w:t>
      </w:r>
      <w:r>
        <w:t xml:space="preserve">are subject to reconfirmation.</w:t>
      </w:r>
    </w:p>
    <w:p>
      <w:pPr>
        <w:numPr>
          <w:ilvl w:val="0"/>
          <w:numId w:val="1003"/>
        </w:numPr>
        <w:pStyle w:val="Compact"/>
      </w:pPr>
      <w:r>
        <w:t xml:space="preserve">All prices are quoted in Australian Dollars (AUD) and are inclusive of Goods and Services Tax (GST) at the current rate of 10%, as applicable under the Australian Taxation Office regulations for services rendered in</w:t>
      </w:r>
      <w:r>
        <w:t xml:space="preserve"> </w:t>
      </w:r>
      <w:r>
        <w:t xml:space="preserve">Australia Melbourne</w:t>
      </w:r>
      <w:r>
        <w:t xml:space="preserve">.</w:t>
      </w:r>
    </w:p>
    <w:p>
      <w:pPr>
        <w:numPr>
          <w:ilvl w:val="0"/>
          <w:numId w:val="1003"/>
        </w:numPr>
        <w:pStyle w:val="Compact"/>
      </w:pPr>
      <w:r>
        <w:t xml:space="preserve">The</w:t>
      </w:r>
      <w:r>
        <w:t xml:space="preserve"> </w:t>
      </w:r>
      <w:r>
        <w:t xml:space="preserve">Academic Researcher</w:t>
      </w:r>
      <w:r>
        <w:t xml:space="preserve"> </w:t>
      </w:r>
      <w:r>
        <w:t xml:space="preserve">shall comply with all University of Melbourne research integrity policies, the Australian Code for the Responsible Conduct of Research, and all applicable Victorian and Commonwealth legislation.</w:t>
      </w:r>
    </w:p>
    <w:p>
      <w:pPr>
        <w:numPr>
          <w:ilvl w:val="0"/>
          <w:numId w:val="1003"/>
        </w:numPr>
        <w:pStyle w:val="Compact"/>
      </w:pPr>
      <w:r>
        <w:t xml:space="preserve">Intellectual property generated during the course of this engagement shall be jointly owned by the University of Melbourne and Meridian Research &amp; Analytics Pty Ltd, as stipulated in the separate Intellectual Property Agreement (Appendix B).</w:t>
      </w:r>
    </w:p>
    <w:p>
      <w:pPr>
        <w:numPr>
          <w:ilvl w:val="0"/>
          <w:numId w:val="1003"/>
        </w:numPr>
        <w:pStyle w:val="Compact"/>
      </w:pPr>
      <w:r>
        <w:t xml:space="preserve">Either party may terminate this engagement with sixty (60) days written notice. In the event of early termination, the</w:t>
      </w:r>
      <w:r>
        <w:t xml:space="preserve"> </w:t>
      </w:r>
      <w:r>
        <w:t xml:space="preserve">Academic Researcher</w:t>
      </w:r>
      <w:r>
        <w:t xml:space="preserve"> </w:t>
      </w:r>
      <w:r>
        <w:t xml:space="preserve">shall be compensated for all work completed up to the termination date, as detailed in this</w:t>
      </w:r>
      <w:r>
        <w:t xml:space="preserve"> </w:t>
      </w:r>
      <w:r>
        <w:t xml:space="preserve">Quotation Estimate</w:t>
      </w:r>
      <w:r>
        <w:t xml:space="preserve">.</w:t>
      </w:r>
    </w:p>
    <w:p>
      <w:pPr>
        <w:numPr>
          <w:ilvl w:val="0"/>
          <w:numId w:val="1003"/>
        </w:numPr>
        <w:pStyle w:val="Compact"/>
      </w:pPr>
      <w:r>
        <w:t xml:space="preserve">Any variations to the scope of work must be agreed upon in writing by both parties prior to commencement of additional tasks. A supplementary</w:t>
      </w:r>
      <w:r>
        <w:t xml:space="preserve"> </w:t>
      </w:r>
      <w:r>
        <w:t xml:space="preserve">Quotation Estimate</w:t>
      </w:r>
      <w:r>
        <w:t xml:space="preserve"> </w:t>
      </w:r>
      <w:r>
        <w:t xml:space="preserve">will be issued for any such variations.</w:t>
      </w:r>
    </w:p>
    <w:p>
      <w:pPr>
        <w:numPr>
          <w:ilvl w:val="0"/>
          <w:numId w:val="1003"/>
        </w:numPr>
        <w:pStyle w:val="Compact"/>
      </w:pPr>
      <w:r>
        <w:t xml:space="preserve">This engagement is governed by the laws of the State of Victoria, Australia. Any disputes shall be resolved through mediation in</w:t>
      </w:r>
      <w:r>
        <w:t xml:space="preserve"> </w:t>
      </w:r>
      <w:r>
        <w:t xml:space="preserve">Australia Melbourne</w:t>
      </w:r>
      <w:r>
        <w:t xml:space="preserve"> </w:t>
      </w:r>
      <w:r>
        <w:t xml:space="preserve">before proceeding to the Victorian Civil and Administrative Tribunal (VCAT).</w:t>
      </w:r>
    </w:p>
    <w:bookmarkEnd w:id="25"/>
    <w:bookmarkStart w:id="26" w:name="acceptance-and-authorisation"/>
    <w:p>
      <w:pPr>
        <w:pStyle w:val="Heading2"/>
      </w:pPr>
      <w:r>
        <w:t xml:space="preserve">6. Acceptance and Authorisation</w:t>
      </w:r>
    </w:p>
    <w:p>
      <w:pPr>
        <w:pStyle w:val="FirstParagraph"/>
      </w:pPr>
      <w:r>
        <w:t xml:space="preserve">By signing below, the client acknowledges and accepts the terms, conditions, and financial estimates set out in this</w:t>
      </w:r>
      <w:r>
        <w:t xml:space="preserve"> </w:t>
      </w:r>
      <w:r>
        <w:t xml:space="preserve">Quotation Estimate</w:t>
      </w:r>
      <w:r>
        <w:t xml:space="preserve"> </w:t>
      </w:r>
      <w:r>
        <w:t xml:space="preserve">for the engagement of the proposed</w:t>
      </w:r>
      <w:r>
        <w:t xml:space="preserve"> </w:t>
      </w:r>
      <w:r>
        <w:t xml:space="preserve">Academic Researcher</w:t>
      </w:r>
      <w:r>
        <w:t xml:space="preserve"> </w:t>
      </w:r>
      <w:r>
        <w:t xml:space="preserve">in</w:t>
      </w:r>
      <w:r>
        <w:t xml:space="preserve"> </w:t>
      </w:r>
      <w:r>
        <w:t xml:space="preserve">Australia Melbourne</w:t>
      </w:r>
      <w:r>
        <w:t xml:space="preserve">.</w:t>
      </w:r>
    </w:p>
    <w:p>
      <w:pPr>
        <w:pStyle w:val="BodyText"/>
      </w:pPr>
      <w:r>
        <w:rPr>
          <w:bCs/>
          <w:b/>
        </w:rPr>
        <w:t xml:space="preserve">For and on behalf of the Client:</w:t>
      </w:r>
      <w:r>
        <w:br/>
      </w:r>
      <w:r>
        <w:br/>
      </w:r>
      <w:r>
        <w:t xml:space="preserve">Name: ______________________________</w:t>
      </w:r>
      <w:r>
        <w:br/>
      </w:r>
      <w:r>
        <w:t xml:space="preserve">Title: ______________________________</w:t>
      </w:r>
      <w:r>
        <w:br/>
      </w:r>
      <w:r>
        <w:t xml:space="preserve">Signature: ______________________________</w:t>
      </w:r>
      <w:r>
        <w:br/>
      </w:r>
      <w:r>
        <w:t xml:space="preserve">Date: ______________________________</w:t>
      </w:r>
    </w:p>
    <w:p>
      <w:pPr>
        <w:pStyle w:val="BodyText"/>
      </w:pPr>
      <w:r>
        <w:rPr>
          <w:bCs/>
          <w:b/>
        </w:rPr>
        <w:t xml:space="preserve">For and on behalf of Meridian Research &amp; Analytics Pty Ltd:</w:t>
      </w:r>
      <w:r>
        <w:br/>
      </w:r>
      <w:r>
        <w:br/>
      </w:r>
      <w:r>
        <w:t xml:space="preserve">Name: James Okafor</w:t>
      </w:r>
      <w:r>
        <w:br/>
      </w:r>
      <w:r>
        <w:t xml:space="preserve">Title: Senior Account Manager</w:t>
      </w:r>
      <w:r>
        <w:br/>
      </w:r>
      <w:r>
        <w:t xml:space="preserve">Signature: ______________________________</w:t>
      </w:r>
      <w:r>
        <w:br/>
      </w:r>
      <w:r>
        <w:t xml:space="preserve">Date: ______________________________</w:t>
      </w:r>
    </w:p>
    <w:p>
      <w:pPr>
        <w:pStyle w:val="BodyText"/>
      </w:pPr>
      <w:r>
        <w:t xml:space="preserve">This Quotation Estimate (QTE-2025-MEL-0472) is the property of Meridian Research &amp; Analytics Pty Ltd. All information contained herein is confidential and intended solely for the named recipient. This document does not constitute a binding contract until countersigned by both parties. For queries regarding this Quotation Estimate, please contact our Melbourne office at +61 3 9421 5580 or enquiries@meridianresearch.com.au.</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Academic Researcher Services - Australia Melbourne</dc:title>
  <dc:creator/>
  <dc:language>en</dc:language>
  <cp:keywords/>
  <dcterms:created xsi:type="dcterms:W3CDTF">2026-10-10T08:36:19Z</dcterms:created>
  <dcterms:modified xsi:type="dcterms:W3CDTF">2026-10-10T08:36:19Z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