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rPr>
          <w:bCs/>
          <w:b/>
        </w:rPr>
        <w:t xml:space="preserve">Meridian Academic Consulting Group Inc.</w:t>
      </w:r>
    </w:p>
    <w:p>
      <w:pPr>
        <w:pStyle w:val="BodyText"/>
      </w:pPr>
      <w:r>
        <w:t xml:space="preserve">289 King Street West, Suite 1450, Toronto, Ontario, Canada M5V 1A2</w:t>
      </w:r>
    </w:p>
    <w:p>
      <w:pPr>
        <w:pStyle w:val="BodyText"/>
      </w:pPr>
      <w:r>
        <w:t xml:space="preserve">Phone: +1 (416) 555-0198  |  Email: quotations@meridianacademic.ca</w:t>
      </w:r>
    </w:p>
    <w:p>
      <w:pPr>
        <w:pStyle w:val="BodyText"/>
      </w:pPr>
      <w:r>
        <w:t xml:space="preserve">Business Number: 123456789 RT0001  |  HST Reg. No.: 123456789RT0001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Prepared For:</w:t>
            </w:r>
          </w:p>
        </w:tc>
        <w:tc>
          <w:tcPr/>
          <w:p>
            <w:pPr>
              <w:pStyle w:val="Compact"/>
              <w:jc w:val="left"/>
            </w:pPr>
            <w:r>
              <w:t xml:space="preserve">Dr. Eleanor Whitfield, Department of Applied Sciences, University of Toronto</w:t>
            </w:r>
          </w:p>
        </w:tc>
        <w:tc>
          <w:tcPr/>
          <w:p>
            <w:pPr>
              <w:pStyle w:val="Compact"/>
              <w:jc w:val="left"/>
            </w:pPr>
            <w:r>
              <w:t xml:space="preserve">Prepared By:</w:t>
            </w:r>
          </w:p>
        </w:tc>
        <w:tc>
          <w:tcPr/>
          <w:p>
            <w:pPr>
              <w:pStyle w:val="Compact"/>
              <w:jc w:val="left"/>
            </w:pPr>
            <w:r>
              <w:t xml:space="preserve">James Okafor, Senior Account Manager</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Academic Consulting Group Inc. to provide a comprehensive and itemized cost breakdown for the engagement of a qualified</w:t>
      </w:r>
      <w:r>
        <w:t xml:space="preserve"> </w:t>
      </w:r>
      <w:r>
        <w:rPr>
          <w:bCs/>
          <w:b/>
        </w:rPr>
        <w:t xml:space="preserve">Academic Researcher</w:t>
      </w:r>
      <w:r>
        <w:t xml:space="preserve"> </w:t>
      </w:r>
      <w:r>
        <w:t xml:space="preserve">to support the Department of Applied Sciences at the University of Toronto. The services described herein are specifically tailored to the academic, regulatory, and professional standards governing research institutions in</w:t>
      </w:r>
      <w:r>
        <w:t xml:space="preserve"> </w:t>
      </w:r>
      <w:r>
        <w:rPr>
          <w:bCs/>
          <w:b/>
        </w:rPr>
        <w:t xml:space="preserve">Canada Toronto</w:t>
      </w:r>
      <w:r>
        <w:t xml:space="preserve"> </w:t>
      </w:r>
      <w:r>
        <w:t xml:space="preserve">and the broader Province of Ontario. This document serves as a formal Quotation Estimate and does not constitute a binding contract until countersigned by both parties.</w:t>
      </w:r>
    </w:p>
    <w:bookmarkEnd w:id="21"/>
    <w:bookmarkStart w:id="22" w:name="X6ce9dd34b9f77859bf47141ed57e7545468b60e"/>
    <w:p>
      <w:pPr>
        <w:pStyle w:val="Heading2"/>
      </w:pPr>
      <w:r>
        <w:t xml:space="preserve">2. Description of Services – Academic Researcher Engagement</w:t>
      </w:r>
    </w:p>
    <w:p>
      <w:pPr>
        <w:pStyle w:val="FirstParagraph"/>
      </w:pPr>
      <w:r>
        <w:t xml:space="preserve">The proposed</w:t>
      </w:r>
      <w:r>
        <w:t xml:space="preserve"> </w:t>
      </w:r>
      <w:r>
        <w:rPr>
          <w:bCs/>
          <w:b/>
        </w:rPr>
        <w:t xml:space="preserve">Academic Researcher</w:t>
      </w:r>
      <w:r>
        <w:t xml:space="preserve"> </w:t>
      </w:r>
      <w:r>
        <w:t xml:space="preserve">will be engaged on a full-time, twelve-month basis to conduct advanced literature reviews, design and execute experimental protocols, manage data collection and statistical analysis, and produce peer-reviewed publications in collaboration with the supervising faculty. The Academic Researcher will operate within the facilities located in the University of Toronto campus in</w:t>
      </w:r>
      <w:r>
        <w:t xml:space="preserve"> </w:t>
      </w:r>
      <w:r>
        <w:rPr>
          <w:bCs/>
          <w:b/>
        </w:rPr>
        <w:t xml:space="preserve">Canada Toronto</w:t>
      </w:r>
      <w:r>
        <w:t xml:space="preserve">, adhering to all institutional ethics board requirements, the Tri-Council Policy Statement (TCPS 2), and applicable federal and provincial research funding guidelines.</w:t>
      </w:r>
    </w:p>
    <w:p>
      <w:pPr>
        <w:pStyle w:val="BodyText"/>
      </w:pPr>
      <w:r>
        <w:t xml:space="preserve">Key deliverables include, but are not limited to: a comprehensive literature review document (minimum 40 pages), three (3) peer-reviewed journal articles, one (1) conference presentation at a national or international venue, and a final research report submitted to the funding body. The Academic Researcher will also be responsible for mentoring up to two (2) graduate students assigned to the project team.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1.1</w:t>
            </w:r>
          </w:p>
        </w:tc>
        <w:tc>
          <w:tcPr/>
          <w:p>
            <w:pPr>
              <w:pStyle w:val="Compact"/>
              <w:jc w:val="left"/>
            </w:pPr>
            <w:r>
              <w:t xml:space="preserve">Academic Researcher – Base Salary (PhD-level, full-time, 37.5 hrs/week)</w:t>
            </w:r>
          </w:p>
        </w:tc>
        <w:tc>
          <w:tcPr/>
          <w:p>
            <w:pPr>
              <w:pStyle w:val="Compact"/>
              <w:jc w:val="left"/>
            </w:pPr>
            <w:r>
              <w:t xml:space="preserve">12 months</w:t>
            </w:r>
          </w:p>
        </w:tc>
        <w:tc>
          <w:tcPr/>
          <w:p>
            <w:pPr>
              <w:pStyle w:val="Compact"/>
              <w:jc w:val="left"/>
            </w:pPr>
            <w:r>
              <w:t xml:space="preserve">$8,200.00 / month</w:t>
            </w:r>
          </w:p>
        </w:tc>
        <w:tc>
          <w:tcPr/>
          <w:p>
            <w:pPr>
              <w:pStyle w:val="Compact"/>
              <w:jc w:val="left"/>
            </w:pPr>
            <w:r>
              <w:t xml:space="preserve">$98,400.00</w:t>
            </w:r>
          </w:p>
        </w:tc>
      </w:tr>
      <w:tr>
        <w:tc>
          <w:tcPr/>
          <w:p>
            <w:pPr>
              <w:pStyle w:val="Compact"/>
              <w:jc w:val="left"/>
            </w:pPr>
            <w:r>
              <w:t xml:space="preserve">1.2</w:t>
            </w:r>
          </w:p>
        </w:tc>
        <w:tc>
          <w:tcPr/>
          <w:p>
            <w:pPr>
              <w:pStyle w:val="Compact"/>
              <w:jc w:val="left"/>
            </w:pPr>
            <w:r>
              <w:t xml:space="preserve">Academic Researcher – Ontario Employer Benefits (CPP, EI, Health &amp; Dental)</w:t>
            </w:r>
          </w:p>
        </w:tc>
        <w:tc>
          <w:tcPr/>
          <w:p>
            <w:pPr>
              <w:pStyle w:val="Compact"/>
              <w:jc w:val="left"/>
            </w:pPr>
            <w:r>
              <w:t xml:space="preserve">12 months</w:t>
            </w:r>
          </w:p>
        </w:tc>
        <w:tc>
          <w:tcPr/>
          <w:p>
            <w:pPr>
              <w:pStyle w:val="Compact"/>
              <w:jc w:val="left"/>
            </w:pPr>
            <w:r>
              <w:t xml:space="preserve">$1,150.00 / month</w:t>
            </w:r>
          </w:p>
        </w:tc>
        <w:tc>
          <w:tcPr/>
          <w:p>
            <w:pPr>
              <w:pStyle w:val="Compact"/>
              <w:jc w:val="left"/>
            </w:pPr>
            <w:r>
              <w:t xml:space="preserve">$13,800.00</w:t>
            </w:r>
          </w:p>
        </w:tc>
      </w:tr>
      <w:tr>
        <w:tc>
          <w:tcPr/>
          <w:p>
            <w:pPr>
              <w:pStyle w:val="Compact"/>
              <w:jc w:val="left"/>
            </w:pPr>
            <w:r>
              <w:t xml:space="preserve">1.3</w:t>
            </w:r>
          </w:p>
        </w:tc>
        <w:tc>
          <w:tcPr/>
          <w:p>
            <w:pPr>
              <w:pStyle w:val="Compact"/>
              <w:jc w:val="left"/>
            </w:pPr>
            <w:r>
              <w:t xml:space="preserve">Research Materials, Laboratory Consumables, and Software Licenses</w:t>
            </w:r>
          </w:p>
        </w:tc>
        <w:tc>
          <w:tcPr/>
          <w:p>
            <w:pPr>
              <w:pStyle w:val="Compact"/>
              <w:jc w:val="left"/>
            </w:pPr>
            <w:r>
              <w:t xml:space="preserve">12 months</w:t>
            </w:r>
          </w:p>
        </w:tc>
        <w:tc>
          <w:tcPr/>
          <w:p>
            <w:pPr>
              <w:pStyle w:val="Compact"/>
              <w:jc w:val="left"/>
            </w:pPr>
            <w:r>
              <w:t xml:space="preserve">$2,400.00 / month</w:t>
            </w:r>
          </w:p>
        </w:tc>
        <w:tc>
          <w:tcPr/>
          <w:p>
            <w:pPr>
              <w:pStyle w:val="Compact"/>
              <w:jc w:val="left"/>
            </w:pPr>
            <w:r>
              <w:t xml:space="preserve">$28,800.00</w:t>
            </w:r>
          </w:p>
        </w:tc>
      </w:tr>
      <w:tr>
        <w:tc>
          <w:tcPr/>
          <w:p>
            <w:pPr>
              <w:pStyle w:val="Compact"/>
              <w:jc w:val="left"/>
            </w:pPr>
            <w:r>
              <w:t xml:space="preserve">1.4</w:t>
            </w:r>
          </w:p>
        </w:tc>
        <w:tc>
          <w:tcPr/>
          <w:p>
            <w:pPr>
              <w:pStyle w:val="Compact"/>
              <w:jc w:val="left"/>
            </w:pPr>
            <w:r>
              <w:t xml:space="preserve">Conference Registration, Travel, and Accommodation (2 events in Canada Toronto and 1 international)</w:t>
            </w:r>
          </w:p>
        </w:tc>
        <w:tc>
          <w:tcPr/>
          <w:p>
            <w:pPr>
              <w:pStyle w:val="Compact"/>
              <w:jc w:val="left"/>
            </w:pPr>
            <w:r>
              <w:t xml:space="preserve">Per event</w:t>
            </w:r>
          </w:p>
        </w:tc>
        <w:tc>
          <w:tcPr/>
          <w:p>
            <w:pPr>
              <w:pStyle w:val="Compact"/>
              <w:jc w:val="left"/>
            </w:pPr>
            <w:r>
              <w:t xml:space="preserve">$3,500.00 / event</w:t>
            </w:r>
          </w:p>
        </w:tc>
        <w:tc>
          <w:tcPr/>
          <w:p>
            <w:pPr>
              <w:pStyle w:val="Compact"/>
              <w:jc w:val="left"/>
            </w:pPr>
            <w:r>
              <w:t xml:space="preserve">$10,500.00</w:t>
            </w:r>
          </w:p>
        </w:tc>
      </w:tr>
      <w:tr>
        <w:tc>
          <w:tcPr/>
          <w:p>
            <w:pPr>
              <w:pStyle w:val="Compact"/>
              <w:jc w:val="left"/>
            </w:pPr>
            <w:r>
              <w:t xml:space="preserve">1.5</w:t>
            </w:r>
          </w:p>
        </w:tc>
        <w:tc>
          <w:tcPr/>
          <w:p>
            <w:pPr>
              <w:pStyle w:val="Compact"/>
              <w:jc w:val="left"/>
            </w:pPr>
            <w:r>
              <w:t xml:space="preserve">Open Access Publication Fees (3 articles)</w:t>
            </w:r>
          </w:p>
        </w:tc>
        <w:tc>
          <w:tcPr/>
          <w:p>
            <w:pPr>
              <w:pStyle w:val="Compact"/>
              <w:jc w:val="left"/>
            </w:pPr>
            <w:r>
              <w:t xml:space="preserve">3 articles</w:t>
            </w:r>
          </w:p>
        </w:tc>
        <w:tc>
          <w:tcPr/>
          <w:p>
            <w:pPr>
              <w:pStyle w:val="Compact"/>
              <w:jc w:val="left"/>
            </w:pPr>
            <w:r>
              <w:t xml:space="preserve">$1,800.00 / article</w:t>
            </w:r>
          </w:p>
        </w:tc>
        <w:tc>
          <w:tcPr/>
          <w:p>
            <w:pPr>
              <w:pStyle w:val="Compact"/>
              <w:jc w:val="left"/>
            </w:pPr>
            <w:r>
              <w:t xml:space="preserve">$5,400.00</w:t>
            </w:r>
          </w:p>
        </w:tc>
      </w:tr>
      <w:tr>
        <w:tc>
          <w:tcPr/>
          <w:p>
            <w:pPr>
              <w:pStyle w:val="Compact"/>
              <w:jc w:val="left"/>
            </w:pPr>
            <w:r>
              <w:t xml:space="preserve">1.6</w:t>
            </w:r>
          </w:p>
        </w:tc>
        <w:tc>
          <w:tcPr/>
          <w:p>
            <w:pPr>
              <w:pStyle w:val="Compact"/>
              <w:jc w:val="left"/>
            </w:pPr>
            <w:r>
              <w:t xml:space="preserve">Ethics Board (REB) Filing and Compliance Administration</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1.7</w:t>
            </w:r>
          </w:p>
        </w:tc>
        <w:tc>
          <w:tcPr/>
          <w:p>
            <w:pPr>
              <w:pStyle w:val="Compact"/>
              <w:jc w:val="left"/>
            </w:pPr>
            <w:r>
              <w:t xml:space="preserve">Administrative and Project Management Oversight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$15,810.00</w:t>
            </w:r>
          </w:p>
        </w:tc>
      </w:tr>
      <w:tr>
        <w:tc>
          <w:tcPr/>
          <w:p>
            <w:pPr>
              <w:pStyle w:val="Compact"/>
              <w:jc w:val="left"/>
            </w:pPr>
            <w:r>
              <w:t xml:space="preserve">1.8</w:t>
            </w:r>
          </w:p>
        </w:tc>
        <w:tc>
          <w:tcPr/>
          <w:p>
            <w:pPr>
              <w:pStyle w:val="Compact"/>
              <w:jc w:val="left"/>
            </w:pPr>
            <w:r>
              <w:t xml:space="preserve">Applicable Ontario HST (13%) on taxable services</w:t>
            </w:r>
          </w:p>
        </w:tc>
        <w:tc>
          <w:tcPr/>
          <w:p>
            <w:pPr>
              <w:pStyle w:val="Compact"/>
              <w:jc w:val="left"/>
            </w:pPr>
            <w:r>
              <w:t xml:space="preserve">—</w:t>
            </w:r>
          </w:p>
        </w:tc>
        <w:tc>
          <w:tcPr/>
          <w:p>
            <w:pPr>
              <w:pStyle w:val="Compact"/>
              <w:jc w:val="left"/>
            </w:pPr>
            <w:r>
              <w:t xml:space="preserve">—</w:t>
            </w:r>
          </w:p>
        </w:tc>
        <w:tc>
          <w:tcPr/>
          <w:p>
            <w:pPr>
              <w:pStyle w:val="Compact"/>
              <w:jc w:val="left"/>
            </w:pPr>
            <w:r>
              <w:t xml:space="preserve">$18,134.30</w:t>
            </w:r>
          </w:p>
        </w:tc>
      </w:tr>
      <w:tr>
        <w:tc>
          <w:tcPr>
            <w:gridSpan w:val="4"/>
          </w:tcPr>
          <w:p>
            <w:pPr>
              <w:pStyle w:val="Compact"/>
              <w:jc w:val="right"/>
            </w:pPr>
            <w:r>
              <w:t xml:space="preserve">TOTAL ESTIMATED COST (CAD):</w:t>
            </w:r>
          </w:p>
        </w:tc>
        <w:tc>
          <w:tcPr/>
          <w:p>
            <w:pPr>
              <w:pStyle w:val="Compact"/>
              <w:jc w:val="left"/>
            </w:pPr>
            <w:r>
              <w:rPr>
                <w:bCs/>
                <w:b/>
              </w:rPr>
              <w:t xml:space="preserve">$192,044.30</w:t>
            </w:r>
          </w:p>
        </w:tc>
      </w:tr>
    </w:tbl>
    <w:bookmarkEnd w:id="23"/>
    <w:bookmarkStart w:id="24" w:name="payment-schedule"/>
    <w:p>
      <w:pPr>
        <w:pStyle w:val="Heading2"/>
      </w:pPr>
      <w:r>
        <w:t xml:space="preserve">4. Payment Schedule</w:t>
      </w:r>
    </w:p>
    <w:p>
      <w:pPr>
        <w:pStyle w:val="FirstParagraph"/>
      </w:pPr>
      <w:r>
        <w:t xml:space="preserve">Payment for the services outlined in this Quotation Estimate shall be made in quarterly installments, due within thirty (30) days of invoice issuance. The schedule is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(CAD)</w:t>
            </w:r>
          </w:p>
        </w:tc>
      </w:tr>
      <w:tr>
        <w:tc>
          <w:tcPr/>
          <w:p>
            <w:pPr>
              <w:pStyle w:val="Compact"/>
              <w:jc w:val="left"/>
            </w:pPr>
            <w:r>
              <w:t xml:space="preserve">Quarter 1 (July – September 2025)</w:t>
            </w:r>
          </w:p>
        </w:tc>
        <w:tc>
          <w:tcPr/>
          <w:p>
            <w:pPr>
              <w:pStyle w:val="Compact"/>
              <w:jc w:val="left"/>
            </w:pPr>
            <w:r>
              <w:t xml:space="preserve">August 15, 2025</w:t>
            </w:r>
          </w:p>
        </w:tc>
        <w:tc>
          <w:tcPr/>
          <w:p>
            <w:pPr>
              <w:pStyle w:val="Compact"/>
              <w:jc w:val="left"/>
            </w:pPr>
            <w:r>
              <w:t xml:space="preserve">$48,011.08</w:t>
            </w:r>
          </w:p>
        </w:tc>
      </w:tr>
      <w:tr>
        <w:tc>
          <w:tcPr/>
          <w:p>
            <w:pPr>
              <w:pStyle w:val="Compact"/>
              <w:jc w:val="left"/>
            </w:pPr>
            <w:r>
              <w:t xml:space="preserve">Quarter 2 (October – December 2025)</w:t>
            </w:r>
          </w:p>
        </w:tc>
        <w:tc>
          <w:tcPr/>
          <w:p>
            <w:pPr>
              <w:pStyle w:val="Compact"/>
              <w:jc w:val="left"/>
            </w:pPr>
            <w:r>
              <w:t xml:space="preserve">November 15, 2025</w:t>
            </w:r>
          </w:p>
        </w:tc>
        <w:tc>
          <w:tcPr/>
          <w:p>
            <w:pPr>
              <w:pStyle w:val="Compact"/>
              <w:jc w:val="left"/>
            </w:pPr>
            <w:r>
              <w:t xml:space="preserve">$48,011.08</w:t>
            </w:r>
          </w:p>
        </w:tc>
      </w:tr>
      <w:tr>
        <w:tc>
          <w:tcPr/>
          <w:p>
            <w:pPr>
              <w:pStyle w:val="Compact"/>
              <w:jc w:val="left"/>
            </w:pPr>
            <w:r>
              <w:t xml:space="preserve">Quarter 3 (January – March 2026)</w:t>
            </w:r>
          </w:p>
        </w:tc>
        <w:tc>
          <w:tcPr/>
          <w:p>
            <w:pPr>
              <w:pStyle w:val="Compact"/>
              <w:jc w:val="left"/>
            </w:pPr>
            <w:r>
              <w:t xml:space="preserve">February 15, 2026</w:t>
            </w:r>
          </w:p>
        </w:tc>
        <w:tc>
          <w:tcPr/>
          <w:p>
            <w:pPr>
              <w:pStyle w:val="Compact"/>
              <w:jc w:val="left"/>
            </w:pPr>
            <w:r>
              <w:t xml:space="preserve">$48,011.08</w:t>
            </w:r>
          </w:p>
        </w:tc>
      </w:tr>
      <w:tr>
        <w:tc>
          <w:tcPr/>
          <w:p>
            <w:pPr>
              <w:pStyle w:val="Compact"/>
              <w:jc w:val="left"/>
            </w:pPr>
            <w:r>
              <w:t xml:space="preserve">Quarter 4 (April – June 2026)</w:t>
            </w:r>
          </w:p>
        </w:tc>
        <w:tc>
          <w:tcPr/>
          <w:p>
            <w:pPr>
              <w:pStyle w:val="Compact"/>
              <w:jc w:val="left"/>
            </w:pPr>
            <w:r>
              <w:t xml:space="preserve">May 15, 2026</w:t>
            </w:r>
          </w:p>
        </w:tc>
        <w:tc>
          <w:tcPr/>
          <w:p>
            <w:pPr>
              <w:pStyle w:val="Compact"/>
              <w:jc w:val="left"/>
            </w:pPr>
            <w:r>
              <w:t xml:space="preserve">$48,011.06</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Any acceptance beyond this period requires written reconfirmation of pricing.</w:t>
      </w:r>
    </w:p>
    <w:p>
      <w:pPr>
        <w:pStyle w:val="BodyText"/>
      </w:pPr>
      <w:r>
        <w:rPr>
          <w:bCs/>
          <w:b/>
        </w:rPr>
        <w:t xml:space="preserve">5.2</w:t>
      </w:r>
      <w:r>
        <w:t xml:space="preserve"> </w:t>
      </w:r>
      <w:r>
        <w:t xml:space="preserve">All rates are quoted in Canadian Dollars (CAD) and are subject to adjustment only in the event of a change in Ontario provincial tax rates or federal employment insurance contributions during the engagement period.</w:t>
      </w:r>
    </w:p>
    <w:p>
      <w:pPr>
        <w:pStyle w:val="BodyText"/>
      </w:pPr>
      <w:r>
        <w:rPr>
          <w:bCs/>
          <w:b/>
        </w:rPr>
        <w:t xml:space="preserve">5.3</w:t>
      </w:r>
      <w:r>
        <w:t xml:space="preserve"> </w:t>
      </w:r>
      <w:r>
        <w:t xml:space="preserve">The Academic Researcher shall be bound by the confidentiality and intellectual property policies of the University of Toronto and all applicable legislation under the</w:t>
      </w:r>
      <w:r>
        <w:t xml:space="preserve"> </w:t>
      </w:r>
      <w:r>
        <w:rPr>
          <w:iCs/>
          <w:i/>
        </w:rPr>
        <w:t xml:space="preserve">Copyright Act</w:t>
      </w:r>
      <w:r>
        <w:t xml:space="preserve"> </w:t>
      </w:r>
      <w:r>
        <w:t xml:space="preserve">(Canada) and the</w:t>
      </w:r>
      <w:r>
        <w:t xml:space="preserve"> </w:t>
      </w:r>
      <w:r>
        <w:rPr>
          <w:iCs/>
          <w:i/>
        </w:rPr>
        <w:t xml:space="preserve">Personal Information Protection and Electronic Documents Act</w:t>
      </w:r>
      <w:r>
        <w:t xml:space="preserve"> </w:t>
      </w:r>
      <w:r>
        <w:t xml:space="preserve">(PIPEDA).</w:t>
      </w:r>
    </w:p>
    <w:p>
      <w:pPr>
        <w:pStyle w:val="BodyText"/>
      </w:pPr>
      <w:r>
        <w:rPr>
          <w:bCs/>
          <w:b/>
        </w:rPr>
        <w:t xml:space="preserve">5.4</w:t>
      </w:r>
      <w:r>
        <w:t xml:space="preserve"> </w:t>
      </w:r>
      <w:r>
        <w:t xml:space="preserve">Termination may be initiated by either party with sixty (60) days written notice. In the event of early termination, all costs incurred up to the termination date, plus a 15% administrative wind-down fee, shall be invoiced.</w:t>
      </w:r>
    </w:p>
    <w:p>
      <w:pPr>
        <w:pStyle w:val="BodyText"/>
      </w:pPr>
      <w:r>
        <w:rPr>
          <w:bCs/>
          <w:b/>
        </w:rPr>
        <w:t xml:space="preserve">5.5</w:t>
      </w:r>
      <w:r>
        <w:t xml:space="preserve"> </w:t>
      </w:r>
      <w:r>
        <w:t xml:space="preserve">This engagement is governed by the laws of the Province of Ontario and the federal laws of</w:t>
      </w:r>
      <w:r>
        <w:t xml:space="preserve"> </w:t>
      </w:r>
      <w:r>
        <w:rPr>
          <w:bCs/>
          <w:b/>
        </w:rPr>
        <w:t xml:space="preserve">Canada Toronto</w:t>
      </w:r>
      <w:r>
        <w:t xml:space="preserve">'s jurisdiction. Any disputes shall be resolved through mediation in Toronto, Ontario, before proceeding to litigation in the Ontario Superior Court of Justice.</w:t>
      </w:r>
    </w:p>
    <w:p>
      <w:pPr>
        <w:pStyle w:val="BodyText"/>
      </w:pPr>
      <w:r>
        <w:rPr>
          <w:bCs/>
          <w:b/>
        </w:rPr>
        <w:t xml:space="preserve">5.6</w:t>
      </w:r>
      <w:r>
        <w:t xml:space="preserve"> </w:t>
      </w:r>
      <w:r>
        <w:t xml:space="preserve">Meridian Academic Consulting Group Inc. reserves the right to substitute the assigned Academic Researcher with a candidate of equivalent or superior qualifications, subject to written approval by the supervising faculty member.</w:t>
      </w:r>
    </w:p>
    <w:bookmarkEnd w:id="25"/>
    <w:bookmarkStart w:id="26" w:name="acceptance-and-authorization"/>
    <w:p>
      <w:pPr>
        <w:pStyle w:val="Heading2"/>
      </w:pPr>
      <w:r>
        <w:t xml:space="preserve">6. Acceptance and Authorization</w:t>
      </w:r>
    </w:p>
    <w:p>
      <w:pPr>
        <w:pStyle w:val="FirstParagraph"/>
      </w:pPr>
      <w:r>
        <w:t xml:space="preserve">By signing below, the undersigned parties acknowledge that they have read, understood, and agree to the terms set forth in this Quotation Estimate for the engagement of an Academic Researcher in</w:t>
      </w:r>
      <w:r>
        <w:t xml:space="preserve"> </w:t>
      </w:r>
      <w:r>
        <w:rPr>
          <w:bCs/>
          <w:b/>
        </w:rPr>
        <w:t xml:space="preserve">Canada Toronto</w:t>
      </w:r>
      <w:r>
        <w:t xml:space="preserve">.</w:t>
      </w:r>
    </w:p>
    <w:p>
      <w:pPr>
        <w:pStyle w:val="BodyText"/>
      </w:pPr>
      <w:r>
        <w:rPr>
          <w:bCs/>
          <w:b/>
        </w:rPr>
        <w:t xml:space="preserve">For Meridian Academic Consulting Group Inc.</w:t>
      </w:r>
    </w:p>
    <w:p>
      <w:pPr>
        <w:pStyle w:val="BodyText"/>
      </w:pPr>
      <w:r>
        <w:t xml:space="preserve">Signature: ___________________________</w:t>
      </w:r>
    </w:p>
    <w:p>
      <w:pPr>
        <w:pStyle w:val="BodyText"/>
      </w:pPr>
      <w:r>
        <w:t xml:space="preserve">Name: James Okafor</w:t>
      </w:r>
    </w:p>
    <w:p>
      <w:pPr>
        <w:pStyle w:val="BodyText"/>
      </w:pPr>
      <w:r>
        <w:t xml:space="preserve">Title: Senior Account Manager</w:t>
      </w:r>
    </w:p>
    <w:p>
      <w:pPr>
        <w:pStyle w:val="BodyText"/>
      </w:pPr>
      <w:r>
        <w:t xml:space="preserve">Date: ___________________________</w:t>
      </w:r>
    </w:p>
    <w:p>
      <w:pPr>
        <w:pStyle w:val="BodyText"/>
      </w:pPr>
      <w:r>
        <w:rPr>
          <w:bCs/>
          <w:b/>
        </w:rPr>
        <w:t xml:space="preserve">For the University of Toronto – Department of Applied Sciences</w:t>
      </w:r>
    </w:p>
    <w:p>
      <w:pPr>
        <w:pStyle w:val="BodyText"/>
      </w:pPr>
      <w:r>
        <w:t xml:space="preserve">Signature: ___________________________</w:t>
      </w:r>
    </w:p>
    <w:p>
      <w:pPr>
        <w:pStyle w:val="BodyText"/>
      </w:pPr>
      <w:r>
        <w:t xml:space="preserve">Name: Dr. Eleanor Whitfield</w:t>
      </w:r>
    </w:p>
    <w:p>
      <w:pPr>
        <w:pStyle w:val="BodyText"/>
      </w:pPr>
      <w:r>
        <w:t xml:space="preserve">Title: Associate Professor &amp; Project Supervisor</w:t>
      </w:r>
    </w:p>
    <w:p>
      <w:pPr>
        <w:pStyle w:val="BodyText"/>
      </w:pPr>
      <w:r>
        <w:t xml:space="preserve">Date: ___________________________</w:t>
      </w:r>
    </w:p>
    <w:p>
      <w:pPr>
        <w:pStyle w:val="BodyText"/>
      </w:pPr>
      <w:r>
        <w:rPr>
          <w:bCs/>
          <w:b/>
        </w:rPr>
        <w:t xml:space="preserve">Note:</w:t>
      </w:r>
      <w:r>
        <w:t xml:space="preserve"> </w:t>
      </w:r>
      <w:r>
        <w:t xml:space="preserve">This Quotation Estimate is prepared exclusively for the named recipient and may not be reproduced or distributed without the prior written consent of Meridian Academic Consulting Group Inc. All references to Canada Toronto pertain to the geographic and jurisdictional context of service delivery. The Academic Researcher's specific qualifications, CV, and references are available upon request and are attached as Appendix A (not included in this summary document).</w:t>
      </w:r>
    </w:p>
    <w:p>
      <w:pPr>
        <w:pStyle w:val="BodyText"/>
      </w:pPr>
      <w:r>
        <w:t xml:space="preserve">Meridian Academic Consulting Group Inc. | 289 King Street West, Suite 1450, Toronto, ON M5V 1A2, Canada</w:t>
      </w:r>
    </w:p>
    <w:p>
      <w:pPr>
        <w:pStyle w:val="BodyText"/>
      </w:pPr>
      <w:r>
        <w:t xml:space="preserve">Quotation Estimate No. QTE-2025-0472 | Page 1 of 1 | Generated: June 12, 2025</w:t>
      </w:r>
    </w:p>
    <w:p>
      <w:pPr>
        <w:pStyle w:val="BodyText"/>
      </w:pPr>
      <w:r>
        <w:t xml:space="preserve">© 2025 Meridian Academic Consulting Group Inc.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Canada Toronto</dc:title>
  <dc:creator/>
  <dc:language>en</dc:language>
  <cp:keywords/>
  <dcterms:created xsi:type="dcterms:W3CDTF">2026-10-10T07:23:12Z</dcterms:created>
  <dcterms:modified xsi:type="dcterms:W3CDTF">2026-10-10T07:23:12Z</dcterms:modified>
</cp:coreProperties>
</file>

<file path=docProps/custom.xml><?xml version="1.0" encoding="utf-8"?>
<Properties xmlns="http://schemas.openxmlformats.org/officeDocument/2006/custom-properties" xmlns:vt="http://schemas.openxmlformats.org/officeDocument/2006/docPropsVTypes"/>
</file>