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Services for Academic Researcher Engagement</w:t>
      </w:r>
    </w:p>
    <w:p>
      <w:pPr>
        <w:pStyle w:val="BodyText"/>
      </w:pPr>
      <w:r>
        <w:t xml:space="preserve">Reference No: QE-BOG-2025-0472 | Date of Issue: June 15,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Mariana Restrepo Valencia, Director of Research Services</w:t>
            </w:r>
          </w:p>
        </w:tc>
      </w:tr>
      <w:tr>
        <w:tc>
          <w:tcPr/>
          <w:p>
            <w:pPr>
              <w:pStyle w:val="Compact"/>
              <w:jc w:val="left"/>
            </w:pPr>
            <w:r>
              <w:t xml:space="preserve">Organization:</w:t>
            </w:r>
          </w:p>
        </w:tc>
        <w:tc>
          <w:tcPr/>
          <w:p>
            <w:pPr>
              <w:pStyle w:val="Compact"/>
              <w:jc w:val="left"/>
            </w:pPr>
            <w:r>
              <w:t xml:space="preserve">Instituto de Estudios Avanzados de Bogotá (IEAB)</w:t>
            </w:r>
          </w:p>
        </w:tc>
      </w:tr>
      <w:tr>
        <w:tc>
          <w:tcPr/>
          <w:p>
            <w:pPr>
              <w:pStyle w:val="Compact"/>
              <w:jc w:val="left"/>
            </w:pPr>
            <w:r>
              <w:t xml:space="preserve">Address:</w:t>
            </w:r>
          </w:p>
        </w:tc>
        <w:tc>
          <w:tcPr/>
          <w:p>
            <w:pPr>
              <w:pStyle w:val="Compact"/>
              <w:jc w:val="left"/>
            </w:pPr>
            <w:r>
              <w:t xml:space="preserve">Carrera 11 #93A-45, Zona Rosa, Bogotá D.C., Colombia</w:t>
            </w:r>
          </w:p>
        </w:tc>
      </w:tr>
      <w:tr>
        <w:tc>
          <w:tcPr/>
          <w:p>
            <w:pPr>
              <w:pStyle w:val="Compact"/>
              <w:jc w:val="left"/>
            </w:pPr>
            <w:r>
              <w:t xml:space="preserve">Contact:</w:t>
            </w:r>
          </w:p>
        </w:tc>
        <w:tc>
          <w:tcPr/>
          <w:p>
            <w:pPr>
              <w:pStyle w:val="Compact"/>
              <w:jc w:val="left"/>
            </w:pPr>
            <w:r>
              <w:t xml:space="preserve">research@ieab.edu.co | +57 (601) 555 0142</w:t>
            </w:r>
          </w:p>
        </w:tc>
      </w:tr>
      <w:tr>
        <w:tc>
          <w:tcPr/>
          <w:p>
            <w:pPr>
              <w:pStyle w:val="Compact"/>
              <w:jc w:val="left"/>
            </w:pPr>
            <w:r>
              <w:t xml:space="preserve">Prepared For:</w:t>
            </w:r>
          </w:p>
        </w:tc>
        <w:tc>
          <w:tcPr/>
          <w:p>
            <w:pPr>
              <w:pStyle w:val="Compact"/>
              <w:jc w:val="left"/>
            </w:pPr>
            <w:r>
              <w:t xml:space="preserve">Universidad Nacional de Colombia – Facultad de Ciencias Humanas</w:t>
            </w:r>
          </w:p>
        </w:tc>
      </w:tr>
      <w:tr>
        <w:tc>
          <w:tcPr/>
          <w:p>
            <w:pPr>
              <w:pStyle w:val="Compact"/>
              <w:jc w:val="left"/>
            </w:pPr>
            <w:r>
              <w:t xml:space="preserve">Project Title:</w:t>
            </w:r>
          </w:p>
        </w:tc>
        <w:tc>
          <w:tcPr/>
          <w:p>
            <w:pPr>
              <w:pStyle w:val="Compact"/>
              <w:jc w:val="left"/>
            </w:pPr>
            <w:r>
              <w:t xml:space="preserve">Interdisciplinary Research Collaboration on Sustainable Urban Development in Colombia Bogotá</w:t>
            </w:r>
          </w:p>
        </w:tc>
      </w:tr>
      <w:tr>
        <w:tc>
          <w:tcPr/>
          <w:p>
            <w:pPr>
              <w:pStyle w:val="Compact"/>
              <w:jc w:val="left"/>
            </w:pPr>
            <w:r>
              <w:t xml:space="preserve">Validity Period:</w:t>
            </w:r>
          </w:p>
        </w:tc>
        <w:tc>
          <w:tcPr/>
          <w:p>
            <w:pPr>
              <w:pStyle w:val="Compact"/>
              <w:jc w:val="left"/>
            </w:pPr>
            <w:r>
              <w:t xml:space="preserve">30 calendar days from the date of issue (expires July 15, 2025)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by the Instituto de Estudios Avanzados de Bogotá (IEAB) in response to the formal request for proposal submitted by the Universidad Nacional de Colombia. The purpose of this document is to provide a comprehensive, itemized financial breakdown for the engagement of a qualified</w:t>
      </w:r>
      <w:r>
        <w:t xml:space="preserve"> </w:t>
      </w:r>
      <w:r>
        <w:t xml:space="preserve">Academic Researcher</w:t>
      </w:r>
      <w:r>
        <w:t xml:space="preserve"> </w:t>
      </w:r>
      <w:r>
        <w:t xml:space="preserve">to conduct, coordinate, and deliver a multi-phase research project focused on sustainable urban development within the metropolitan area of</w:t>
      </w:r>
      <w:r>
        <w:t xml:space="preserve"> </w:t>
      </w:r>
      <w:r>
        <w:t xml:space="preserve">Colombia Bogotá</w:t>
      </w:r>
      <w:r>
        <w:t xml:space="preserve">.</w:t>
      </w:r>
    </w:p>
    <w:p>
      <w:pPr>
        <w:pStyle w:val="BodyText"/>
      </w:pPr>
      <w:r>
        <w:t xml:space="preserve">The</w:t>
      </w:r>
      <w:r>
        <w:t xml:space="preserve"> </w:t>
      </w:r>
      <w:r>
        <w:t xml:space="preserve">Academic Researcher</w:t>
      </w:r>
      <w:r>
        <w:t xml:space="preserve"> </w:t>
      </w:r>
      <w:r>
        <w:t xml:space="preserve">proposed for this engagement is Dr. Alejandro Cárdenos Méndez, a tenured professor of Urban Planning and Environmental Policy with over fifteen years of peer-reviewed publications in international journals. His expertise aligns directly with the research objectives outlined in the client's terms of reference, and his prior work on Bogotá's public transportation infrastructure and green corridor initiatives makes him an ideal candidate for this project.</w:t>
      </w:r>
    </w:p>
    <w:bookmarkEnd w:id="21"/>
    <w:bookmarkStart w:id="22" w:name="X9eecefff8d566885802f36e23566bfe0fa49e60"/>
    <w:p>
      <w:pPr>
        <w:pStyle w:val="Heading2"/>
      </w:pPr>
      <w:r>
        <w:t xml:space="preserve">2. Detailed Service Breakdown and Cost Structure</w:t>
      </w:r>
    </w:p>
    <w:p>
      <w:pPr>
        <w:pStyle w:val="FirstParagraph"/>
      </w:pPr>
      <w:r>
        <w:t xml:space="preserve">The following table presents the complete financial structure of this</w:t>
      </w:r>
      <w:r>
        <w:t xml:space="preserve"> </w:t>
      </w:r>
      <w:r>
        <w:t xml:space="preserve">Quotation Estimate</w:t>
      </w:r>
      <w:r>
        <w:t xml:space="preserve">. All monetary values are expressed in Colombian Pesos (COP) unless otherwise indicated. Exchange rate reference: 1 USD = 4,150 COP (Banco de la República,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(COP)</w:t>
            </w:r>
          </w:p>
        </w:tc>
        <w:tc>
          <w:tcPr/>
          <w:p>
            <w:pPr>
              <w:pStyle w:val="Compact"/>
              <w:jc w:val="left"/>
            </w:pPr>
            <w:r>
              <w:t xml:space="preserve">Quantity</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literature review and research framework design for the</w:t>
            </w:r>
            <w:r>
              <w:t xml:space="preserve"> </w:t>
            </w:r>
            <w:r>
              <w:t xml:space="preserve">Academic Researcher</w:t>
            </w:r>
            <w:r>
              <w:t xml:space="preserve"> </w:t>
            </w:r>
            <w:r>
              <w:t xml:space="preserve">engagement in Colombia Bogotá</w:t>
            </w:r>
          </w:p>
        </w:tc>
        <w:tc>
          <w:tcPr/>
          <w:p>
            <w:pPr>
              <w:pStyle w:val="Compact"/>
              <w:jc w:val="left"/>
            </w:pPr>
            <w:r>
              <w:t xml:space="preserve">4 weeks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Field data collection: surveys, interviews, and spatial analysis across 6 districts of Bogotá D.C.</w:t>
            </w:r>
          </w:p>
        </w:tc>
        <w:tc>
          <w:tcPr/>
          <w:p>
            <w:pPr>
              <w:pStyle w:val="Compact"/>
              <w:jc w:val="left"/>
            </w:pPr>
            <w:r>
              <w:t xml:space="preserve">10 weeks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Quantitative and qualitative data analysis using GIS, SPSS, and NVivo software</w:t>
            </w:r>
          </w:p>
        </w:tc>
        <w:tc>
          <w:tcPr/>
          <w:p>
            <w:pPr>
              <w:pStyle w:val="Compact"/>
              <w:jc w:val="left"/>
            </w:pPr>
            <w:r>
              <w:t xml:space="preserve">6 weeks</w:t>
            </w:r>
          </w:p>
        </w:tc>
        <w:tc>
          <w:tcPr/>
          <w:p>
            <w:pPr>
              <w:pStyle w:val="Compact"/>
              <w:jc w:val="left"/>
            </w:pPr>
            <w:r>
              <w:t xml:space="preserve">9,800,000</w:t>
            </w:r>
          </w:p>
        </w:tc>
        <w:tc>
          <w:tcPr/>
          <w:p>
            <w:pPr>
              <w:pStyle w:val="Compact"/>
              <w:jc w:val="left"/>
            </w:pPr>
            <w:r>
              <w:t xml:space="preserve">1</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Preparation of three peer-reviewed journal articles for submission to Q1/Q2 indexed publications</w:t>
            </w:r>
          </w:p>
        </w:tc>
        <w:tc>
          <w:tcPr/>
          <w:p>
            <w:pPr>
              <w:pStyle w:val="Compact"/>
              <w:jc w:val="left"/>
            </w:pPr>
            <w:r>
              <w:t xml:space="preserve">8 weeks</w:t>
            </w:r>
          </w:p>
        </w:tc>
        <w:tc>
          <w:tcPr/>
          <w:p>
            <w:pPr>
              <w:pStyle w:val="Compact"/>
              <w:jc w:val="left"/>
            </w:pPr>
            <w:r>
              <w:t xml:space="preserve">7,200,000</w:t>
            </w:r>
          </w:p>
        </w:tc>
        <w:tc>
          <w:tcPr/>
          <w:p>
            <w:pPr>
              <w:pStyle w:val="Compact"/>
              <w:jc w:val="left"/>
            </w:pPr>
            <w:r>
              <w:t xml:space="preserve">3</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Participation in two national academic conferences in Colombia Bogotá (presentation and panel discussion)</w:t>
            </w:r>
          </w:p>
        </w:tc>
        <w:tc>
          <w:tcPr/>
          <w:p>
            <w:pPr>
              <w:pStyle w:val="Compact"/>
              <w:jc w:val="left"/>
            </w:pPr>
            <w:r>
              <w:t xml:space="preserve">2 events</w:t>
            </w:r>
          </w:p>
        </w:tc>
        <w:tc>
          <w:tcPr/>
          <w:p>
            <w:pPr>
              <w:pStyle w:val="Compact"/>
              <w:jc w:val="left"/>
            </w:pPr>
            <w:r>
              <w:t xml:space="preserve">3,500,000</w:t>
            </w:r>
          </w:p>
        </w:tc>
        <w:tc>
          <w:tcPr/>
          <w:p>
            <w:pPr>
              <w:pStyle w:val="Compact"/>
              <w:jc w:val="left"/>
            </w:pPr>
            <w:r>
              <w:t xml:space="preserve">2</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Supervision and mentoring of four graduate students (MSc/PhD) as part of the research team</w:t>
            </w:r>
          </w:p>
        </w:tc>
        <w:tc>
          <w:tcPr/>
          <w:p>
            <w:pPr>
              <w:pStyle w:val="Compact"/>
              <w:jc w:val="left"/>
            </w:pPr>
            <w:r>
              <w:t xml:space="preserve">24 weeks</w:t>
            </w:r>
          </w:p>
        </w:tc>
        <w:tc>
          <w:tcPr/>
          <w:p>
            <w:pPr>
              <w:pStyle w:val="Compact"/>
              <w:jc w:val="left"/>
            </w:pPr>
            <w:r>
              <w:t xml:space="preserve">4,200,000</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Final comprehensive research report (minimum 200 pages) with policy recommendations for the Alcaldía Mayor de Bogotá</w:t>
            </w:r>
          </w:p>
        </w:tc>
        <w:tc>
          <w:tcPr/>
          <w:p>
            <w:pPr>
              <w:pStyle w:val="Compact"/>
              <w:jc w:val="left"/>
            </w:pPr>
            <w:r>
              <w:t xml:space="preserve">4 weeks</w:t>
            </w:r>
          </w:p>
        </w:tc>
        <w:tc>
          <w:tcPr/>
          <w:p>
            <w:pPr>
              <w:pStyle w:val="Compact"/>
              <w:jc w:val="left"/>
            </w:pPr>
            <w:r>
              <w:t xml:space="preserve">11,500,000</w:t>
            </w:r>
          </w:p>
        </w:tc>
        <w:tc>
          <w:tcPr/>
          <w:p>
            <w:pPr>
              <w:pStyle w:val="Compact"/>
              <w:jc w:val="left"/>
            </w:pPr>
            <w:r>
              <w:t xml:space="preserve">1</w:t>
            </w:r>
          </w:p>
        </w:tc>
        <w:tc>
          <w:tcPr/>
          <w:p>
            <w:pPr>
              <w:pStyle w:val="Compact"/>
              <w:jc w:val="left"/>
            </w:pPr>
            <w:r>
              <w:t xml:space="preserve">11,500,000</w:t>
            </w:r>
          </w:p>
        </w:tc>
      </w:tr>
      <w:tr>
        <w:tc>
          <w:tcPr/>
          <w:p>
            <w:pPr>
              <w:pStyle w:val="Compact"/>
              <w:jc w:val="left"/>
            </w:pPr>
            <w:r>
              <w:t xml:space="preserve">8</w:t>
            </w:r>
          </w:p>
        </w:tc>
        <w:tc>
          <w:tcPr/>
          <w:p>
            <w:pPr>
              <w:pStyle w:val="Compact"/>
              <w:jc w:val="left"/>
            </w:pPr>
            <w:r>
              <w:t xml:space="preserve">Administrative coordination, project management, and monthly progress reporting</w:t>
            </w:r>
          </w:p>
        </w:tc>
        <w:tc>
          <w:tcPr/>
          <w:p>
            <w:pPr>
              <w:pStyle w:val="Compact"/>
              <w:jc w:val="left"/>
            </w:pPr>
            <w:r>
              <w:t xml:space="preserve">30 weeks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gridSpan w:val="5"/>
          </w:tcPr>
          <w:p>
            <w:pPr>
              <w:pStyle w:val="Compact"/>
              <w:jc w:val="right"/>
            </w:pPr>
            <w:r>
              <w:t xml:space="preserve">TOTAL ESTIMATED COST (COP)</w:t>
            </w:r>
          </w:p>
        </w:tc>
        <w:tc>
          <w:tcPr/>
          <w:p>
            <w:pPr>
              <w:pStyle w:val="Compact"/>
              <w:jc w:val="left"/>
            </w:pPr>
            <w:r>
              <w:t xml:space="preserve">77,400,000</w:t>
            </w:r>
          </w:p>
        </w:tc>
      </w:tr>
      <w:tr>
        <w:tc>
          <w:tcPr>
            <w:gridSpan w:val="5"/>
          </w:tcPr>
          <w:p>
            <w:pPr>
              <w:pStyle w:val="Compact"/>
              <w:jc w:val="right"/>
            </w:pPr>
            <w:r>
              <w:t xml:space="preserve">TOTAL ESTIMATED COST (USD, approx.)</w:t>
            </w:r>
          </w:p>
        </w:tc>
        <w:tc>
          <w:tcPr/>
          <w:p>
            <w:pPr>
              <w:pStyle w:val="Compact"/>
              <w:jc w:val="left"/>
            </w:pPr>
            <w:r>
              <w:t xml:space="preserve">18,650.60</w:t>
            </w:r>
          </w:p>
        </w:tc>
      </w:tr>
    </w:tbl>
    <w:bookmarkEnd w:id="22"/>
    <w:bookmarkStart w:id="23" w:name="X25608ebcceaefe30b4e721a6a4da7eb1356cd49"/>
    <w:p>
      <w:pPr>
        <w:pStyle w:val="Heading2"/>
      </w:pPr>
      <w:r>
        <w:t xml:space="preserve">3. Additional Costs and Reimbursable Expenses</w:t>
      </w:r>
    </w:p>
    <w:p>
      <w:pPr>
        <w:pStyle w:val="FirstParagraph"/>
      </w:pPr>
      <w:r>
        <w:t xml:space="preserve">The following costs are not included in the base</w:t>
      </w:r>
      <w:r>
        <w:t xml:space="preserve"> </w:t>
      </w:r>
      <w:r>
        <w:t xml:space="preserve">Quotation Estimate</w:t>
      </w:r>
      <w:r>
        <w:t xml:space="preserve"> </w:t>
      </w:r>
      <w:r>
        <w:t xml:space="preserve">above and will be billed separately upon actual expenditure, subject to prior written approval from the client:</w:t>
      </w:r>
    </w:p>
    <w:p>
      <w:pPr>
        <w:numPr>
          <w:ilvl w:val="0"/>
          <w:numId w:val="1001"/>
        </w:numPr>
        <w:pStyle w:val="Compact"/>
      </w:pPr>
      <w:r>
        <w:t xml:space="preserve">Travel and accommodation for fieldwork in municipalities surrounding Bogotá (estimated: COP 4,500,000)</w:t>
      </w:r>
    </w:p>
    <w:p>
      <w:pPr>
        <w:numPr>
          <w:ilvl w:val="0"/>
          <w:numId w:val="1001"/>
        </w:numPr>
        <w:pStyle w:val="Compact"/>
      </w:pPr>
      <w:r>
        <w:t xml:space="preserve">Software licensing fees for specialized GIS and statistical tools (estimated: COP 2,200,000)</w:t>
      </w:r>
    </w:p>
    <w:p>
      <w:pPr>
        <w:numPr>
          <w:ilvl w:val="0"/>
          <w:numId w:val="1001"/>
        </w:numPr>
        <w:pStyle w:val="Compact"/>
      </w:pPr>
      <w:r>
        <w:t xml:space="preserve">Publication fees for open-access journal submissions (estimated: COP 6,000,000 for three articles)</w:t>
      </w:r>
    </w:p>
    <w:p>
      <w:pPr>
        <w:numPr>
          <w:ilvl w:val="0"/>
          <w:numId w:val="1001"/>
        </w:numPr>
        <w:pStyle w:val="Compact"/>
      </w:pPr>
      <w:r>
        <w:t xml:space="preserve">Conference registration, travel, and per diem for national events in Colombia Bogotá (estimated: COP 3,800,000)</w:t>
      </w:r>
    </w:p>
    <w:p>
      <w:pPr>
        <w:numPr>
          <w:ilvl w:val="0"/>
          <w:numId w:val="1001"/>
        </w:numPr>
        <w:pStyle w:val="Compact"/>
      </w:pPr>
      <w:r>
        <w:t xml:space="preserve">Translation and certification of final deliverables into English (estimated: COP 1,800,000)</w:t>
      </w:r>
    </w:p>
    <w:p>
      <w:pPr>
        <w:pStyle w:val="FirstParagraph"/>
      </w:pPr>
      <w:r>
        <w:rPr>
          <w:bCs/>
          <w:b/>
        </w:rPr>
        <w:t xml:space="preserve">Estimated total reimbursable expenses: COP 18,300,000 (approximately USD 4,409.64)</w:t>
      </w:r>
    </w:p>
    <w:bookmarkEnd w:id="23"/>
    <w:bookmarkStart w:id="24" w:name="payment-terms-and-schedule"/>
    <w:p>
      <w:pPr>
        <w:pStyle w:val="Heading2"/>
      </w:pPr>
      <w:r>
        <w:t xml:space="preserve">4. Payment Terms and Schedule</w:t>
      </w:r>
    </w:p>
    <w:p>
      <w:pPr>
        <w:pStyle w:val="FirstParagraph"/>
      </w:pPr>
      <w:r>
        <w:t xml:space="preserve">Payment for this</w:t>
      </w:r>
      <w:r>
        <w:t xml:space="preserve"> </w:t>
      </w:r>
      <w:r>
        <w:t xml:space="preserve">Quotation Estimate</w:t>
      </w:r>
      <w:r>
        <w:t xml:space="preserve"> </w:t>
      </w:r>
      <w:r>
        <w:t xml:space="preserve">shall be structured as follows, aligned with the project milestones:</w:t>
      </w:r>
    </w:p>
    <w:p>
      <w:pPr>
        <w:numPr>
          <w:ilvl w:val="0"/>
          <w:numId w:val="1002"/>
        </w:numPr>
        <w:pStyle w:val="Compact"/>
      </w:pPr>
      <w:r>
        <w:rPr>
          <w:bCs/>
          <w:b/>
        </w:rPr>
        <w:t xml:space="preserve">30% advance payment</w:t>
      </w:r>
      <w:r>
        <w:t xml:space="preserve"> </w:t>
      </w:r>
      <w:r>
        <w:t xml:space="preserve">(COP 23,220,000) upon contract signature and project kickoff.</w:t>
      </w:r>
    </w:p>
    <w:p>
      <w:pPr>
        <w:numPr>
          <w:ilvl w:val="0"/>
          <w:numId w:val="1002"/>
        </w:numPr>
        <w:pStyle w:val="Compact"/>
      </w:pPr>
      <w:r>
        <w:rPr>
          <w:bCs/>
          <w:b/>
        </w:rPr>
        <w:t xml:space="preserve">25% interim payment</w:t>
      </w:r>
      <w:r>
        <w:t xml:space="preserve"> </w:t>
      </w:r>
      <w:r>
        <w:t xml:space="preserve">(COP 19,350,000) upon completion of field data collection (Week 14).</w:t>
      </w:r>
    </w:p>
    <w:p>
      <w:pPr>
        <w:numPr>
          <w:ilvl w:val="0"/>
          <w:numId w:val="1002"/>
        </w:numPr>
        <w:pStyle w:val="Compact"/>
      </w:pPr>
      <w:r>
        <w:rPr>
          <w:bCs/>
          <w:b/>
        </w:rPr>
        <w:t xml:space="preserve">25% interim payment</w:t>
      </w:r>
      <w:r>
        <w:t xml:space="preserve"> </w:t>
      </w:r>
      <w:r>
        <w:t xml:space="preserve">(COP 19,350,000) upon delivery of the data analysis and draft journal articles (Week 24).</w:t>
      </w:r>
    </w:p>
    <w:p>
      <w:pPr>
        <w:numPr>
          <w:ilvl w:val="0"/>
          <w:numId w:val="1002"/>
        </w:numPr>
        <w:pStyle w:val="Compact"/>
      </w:pPr>
      <w:r>
        <w:rPr>
          <w:bCs/>
          <w:b/>
        </w:rPr>
        <w:t xml:space="preserve">20% final payment</w:t>
      </w:r>
      <w:r>
        <w:t xml:space="preserve"> </w:t>
      </w:r>
      <w:r>
        <w:t xml:space="preserve">(COP 15,480,000) upon acceptance of the final research report and all deliverables (Week 30).</w:t>
      </w:r>
    </w:p>
    <w:p>
      <w:pPr>
        <w:pStyle w:val="FirstParagraph"/>
      </w:pPr>
      <w:r>
        <w:t xml:space="preserve">All payments shall be made via bank transfer to the IEAB account at Banco de Bogotá, NIT 900.123.456-7, within fifteen (15) business days of invoice issuance. Late payments shall accrue interest at the rate established by the Superintendencia Financiera de Colombia.</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conditions are subject to revision without prior notice.</w:t>
      </w:r>
    </w:p>
    <w:p>
      <w:pPr>
        <w:pStyle w:val="BodyText"/>
      </w:pPr>
      <w:r>
        <w:rPr>
          <w:bCs/>
          <w:b/>
        </w:rPr>
        <w:t xml:space="preserve">5.2</w:t>
      </w:r>
      <w:r>
        <w:t xml:space="preserve"> </w:t>
      </w:r>
      <w:r>
        <w:t xml:space="preserve">The</w:t>
      </w:r>
      <w:r>
        <w:t xml:space="preserve"> </w:t>
      </w:r>
      <w:r>
        <w:t xml:space="preserve">Academic Researcher</w:t>
      </w:r>
      <w:r>
        <w:t xml:space="preserve"> </w:t>
      </w:r>
      <w:r>
        <w:t xml:space="preserve">named in this document is the principal investigator. Any substitution requires the prior written consent of the client. The researcher shall maintain full academic integrity and comply with the ethical standards of the Colombian Association of Researchers (ACI).</w:t>
      </w:r>
    </w:p>
    <w:p>
      <w:pPr>
        <w:pStyle w:val="BodyText"/>
      </w:pPr>
      <w:r>
        <w:rPr>
          <w:bCs/>
          <w:b/>
        </w:rPr>
        <w:t xml:space="preserve">5.3</w:t>
      </w:r>
      <w:r>
        <w:t xml:space="preserve"> </w:t>
      </w:r>
      <w:r>
        <w:t xml:space="preserve">All intellectual property generated during the course of this project in Colombia Bogotá shall be jointly owned by IEAB and the Universidad Nacional de Colombia, as stipulated in a separate Intellectual Property Agreement to be executed concurrently with the main contract.</w:t>
      </w:r>
    </w:p>
    <w:p>
      <w:pPr>
        <w:pStyle w:val="BodyText"/>
      </w:pPr>
      <w:r>
        <w:rPr>
          <w:bCs/>
          <w:b/>
        </w:rPr>
        <w:t xml:space="preserve">5.4</w:t>
      </w:r>
      <w:r>
        <w:t xml:space="preserve"> </w:t>
      </w:r>
      <w:r>
        <w:t xml:space="preserve">The</w:t>
      </w:r>
      <w:r>
        <w:t xml:space="preserve"> </w:t>
      </w:r>
      <w:r>
        <w:t xml:space="preserve">Academic Researcher</w:t>
      </w:r>
      <w:r>
        <w:t xml:space="preserve"> </w:t>
      </w:r>
      <w:r>
        <w:t xml:space="preserve">shall comply with all applicable Colombian labor regulations, data protection laws (Ley 1581 de 2012), and institutional research ethics protocols. Any fieldwork involving human subjects must receive prior approval from the relevant Institutional Review Board (IRB).</w:t>
      </w:r>
    </w:p>
    <w:p>
      <w:pPr>
        <w:pStyle w:val="BodyText"/>
      </w:pPr>
      <w:r>
        <w:rPr>
          <w:bCs/>
          <w:b/>
        </w:rPr>
        <w:t xml:space="preserve">5.5</w:t>
      </w:r>
      <w:r>
        <w:t xml:space="preserve"> </w:t>
      </w:r>
      <w:r>
        <w:t xml:space="preserve">Either party may terminate this agreement with thirty (30) days written notice. In the event of early termination, the client shall be liable for all costs incurred up to the date of termination, plus a 10% administrative fee.</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 All disputes shall be resolved through arbitration in Bogotá D.C., Colombia, in accordance with the rules of the Centro de Arbitraje y Conciliación de la Cámara de Comercio de Bogotá.</w:t>
      </w:r>
    </w:p>
    <w:p>
      <w:pPr>
        <w:pStyle w:val="BodyText"/>
      </w:pPr>
      <w:r>
        <w:rPr>
          <w:bCs/>
          <w:b/>
        </w:rPr>
        <w:t xml:space="preserve">Important Note:</w:t>
      </w:r>
      <w:r>
        <w:t xml:space="preserve"> </w:t>
      </w:r>
      <w:r>
        <w:t xml:space="preserve">This Quotation Estimate has been prepared specifically for the Universidad Nacional de Colombia and is non-transferable. The rates reflect the current academic labor market in Colombia Bogotá and are based on the standard fee schedule of the Instituto de Estudios Avanzados de Bogotá for the 2025 fiscal year. All COP amounts are exclusive of applicable VAT (IVA) where legally required.</w:t>
      </w:r>
    </w:p>
    <w:p>
      <w:pPr>
        <w:pStyle w:val="BodyText"/>
      </w:pPr>
      <w:r>
        <w:rPr>
          <w:bCs/>
          <w:b/>
        </w:rPr>
        <w:t xml:space="preserve">Prepared and Issued By:</w:t>
      </w:r>
    </w:p>
    <w:p>
      <w:pPr>
        <w:pStyle w:val="BodyText"/>
      </w:pPr>
      <w:r>
        <w:t xml:space="preserve">Dr. Mariana Restrepo Valencia</w:t>
      </w:r>
    </w:p>
    <w:p>
      <w:pPr>
        <w:pStyle w:val="BodyText"/>
      </w:pPr>
      <w:r>
        <w:t xml:space="preserve">Director of Research Services, IEAB</w:t>
      </w:r>
    </w:p>
    <w:p>
      <w:pPr>
        <w:pStyle w:val="BodyText"/>
      </w:pPr>
      <w:r>
        <w:t xml:space="preserve">NIT: 900.123.456-7</w:t>
      </w:r>
    </w:p>
    <w:p>
      <w:pPr>
        <w:pStyle w:val="BodyText"/>
      </w:pPr>
      <w:r>
        <w:rPr>
          <w:bCs/>
          <w:b/>
        </w:rPr>
        <w:t xml:space="preserve">Accepted By (Client):</w:t>
      </w:r>
    </w:p>
    <w:p>
      <w:pPr>
        <w:pStyle w:val="BodyText"/>
      </w:pPr>
      <w:r>
        <w:t xml:space="preserve">_______________________________</w:t>
      </w:r>
    </w:p>
    <w:p>
      <w:pPr>
        <w:pStyle w:val="BodyText"/>
      </w:pPr>
      <w:r>
        <w:t xml:space="preserve">Name and Title</w:t>
      </w:r>
    </w:p>
    <w:p>
      <w:pPr>
        <w:pStyle w:val="BodyText"/>
      </w:pPr>
      <w:r>
        <w:t xml:space="preserve">Universidad Nacional de Colombia</w:t>
      </w:r>
    </w:p>
    <w:p>
      <w:pPr>
        <w:pStyle w:val="BodyText"/>
      </w:pPr>
      <w:r>
        <w:t xml:space="preserve">Date: _______________</w:t>
      </w:r>
    </w:p>
    <w:p>
      <w:pPr>
        <w:pStyle w:val="BodyText"/>
      </w:pPr>
      <w:r>
        <w:t xml:space="preserve">Quotation Estimate QE-BOG-2025-0472 | Instituto de Estudios Avanzados de Bogotá | Carrera 11 #93A-45, Bogotá D.C., Colombia</w:t>
      </w:r>
    </w:p>
    <w:p>
      <w:pPr>
        <w:pStyle w:val="BodyText"/>
      </w:pPr>
      <w:r>
        <w:t xml:space="preserve">This document is the property of IEAB. Unauthorized reproduction or distribution is prohibited under Colombian intellectual property law (Ley 23 de 1982).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Colombia Bogotá</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