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Academic</w:t>
      </w:r>
      <w:r>
        <w:t xml:space="preserve"> </w:t>
      </w:r>
      <w:r>
        <w:t xml:space="preserve">Researcher</w:t>
      </w:r>
      <w:r>
        <w:t xml:space="preserve"> </w:t>
      </w:r>
      <w:r>
        <w:t xml:space="preserve">Services</w:t>
      </w:r>
      <w:r>
        <w:t xml:space="preserve"> </w:t>
      </w:r>
      <w:r>
        <w:t xml:space="preserve">-</w:t>
      </w:r>
      <w:r>
        <w:t xml:space="preserve"> </w:t>
      </w:r>
      <w:r>
        <w:t xml:space="preserve">Egypt</w:t>
      </w:r>
      <w:r>
        <w:t xml:space="preserve"> </w:t>
      </w:r>
      <w:r>
        <w:t xml:space="preserve">Alexandria</w:t>
      </w:r>
    </w:p>
    <w:bookmarkStart w:id="21" w:name="quotation-estimate"/>
    <w:p>
      <w:pPr>
        <w:pStyle w:val="Heading1"/>
      </w:pPr>
      <w:r>
        <w:t xml:space="preserve">QUOTATION ESTIMATE</w:t>
      </w:r>
    </w:p>
    <w:bookmarkStart w:id="20" w:name="X4853abd9369a8d7e50ca53678daf9ed56899b58"/>
    <w:p>
      <w:pPr>
        <w:pStyle w:val="Heading2"/>
      </w:pPr>
      <w:r>
        <w:t xml:space="preserve">Academic Researcher Professional Services</w:t>
      </w:r>
    </w:p>
    <w:p>
      <w:pPr>
        <w:pStyle w:val="FirstParagraph"/>
      </w:pPr>
      <w:r>
        <w:t xml:space="preserve">Prepared for engagement in Egypt Alexandria</w:t>
      </w:r>
    </w:p>
    <w:bookmarkEnd w:id="20"/>
    <w:bookmarkEnd w:id="21"/>
    <w:bookmarkStart w:id="22" w:name="quotation-estimate-details"/>
    <w:p>
      <w:pPr>
        <w:pStyle w:val="Heading3"/>
      </w:pPr>
      <w:r>
        <w:t xml:space="preserve">Quotation Estimate Details</w:t>
      </w:r>
    </w:p>
    <w:p>
      <w:pPr>
        <w:pStyle w:val="FirstParagraph"/>
      </w:pPr>
      <w:r>
        <w:rPr>
          <w:bCs/>
          <w:b/>
        </w:rPr>
        <w:t xml:space="preserve">Quotation No.:</w:t>
      </w:r>
      <w:r>
        <w:t xml:space="preserve"> </w:t>
      </w:r>
      <w:r>
        <w:t xml:space="preserve">QTE-ALX-2025-0472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 of Service:</w:t>
      </w:r>
      <w:r>
        <w:t xml:space="preserve"> </w:t>
      </w:r>
      <w:r>
        <w:t xml:space="preserve">Egypt Alexandria</w:t>
      </w:r>
    </w:p>
    <w:bookmarkEnd w:id="22"/>
    <w:bookmarkStart w:id="23" w:name="prepared-by"/>
    <w:p>
      <w:pPr>
        <w:pStyle w:val="Heading3"/>
      </w:pPr>
      <w:r>
        <w:t xml:space="preserve">Prepared By</w:t>
      </w:r>
    </w:p>
    <w:p>
      <w:pPr>
        <w:pStyle w:val="FirstParagraph"/>
      </w:pPr>
      <w:r>
        <w:rPr>
          <w:bCs/>
          <w:b/>
        </w:rPr>
        <w:t xml:space="preserve">Provider:</w:t>
      </w:r>
      <w:r>
        <w:t xml:space="preserve"> </w:t>
      </w:r>
      <w:r>
        <w:t xml:space="preserve">Alexandria Academic Research Institute</w:t>
      </w:r>
    </w:p>
    <w:p>
      <w:pPr>
        <w:pStyle w:val="BodyText"/>
      </w:pPr>
      <w:r>
        <w:rPr>
          <w:bCs/>
          <w:b/>
        </w:rPr>
        <w:t xml:space="preserve">Address:</w:t>
      </w:r>
      <w:r>
        <w:t xml:space="preserve"> </w:t>
      </w:r>
      <w:r>
        <w:t xml:space="preserve">42 Corniche El-Nil Street, Smouha District, Alexandria, Egypt</w:t>
      </w:r>
    </w:p>
    <w:p>
      <w:pPr>
        <w:pStyle w:val="BodyText"/>
      </w:pPr>
      <w:r>
        <w:rPr>
          <w:bCs/>
          <w:b/>
        </w:rPr>
        <w:t xml:space="preserve">Contact:</w:t>
      </w:r>
      <w:r>
        <w:t xml:space="preserve"> </w:t>
      </w:r>
      <w:r>
        <w:t xml:space="preserve">research@alexari.edu.eg</w:t>
      </w:r>
    </w:p>
    <w:p>
      <w:pPr>
        <w:pStyle w:val="BodyText"/>
      </w:pPr>
      <w:r>
        <w:rPr>
          <w:bCs/>
          <w:b/>
        </w:rPr>
        <w:t xml:space="preserve">Phone:</w:t>
      </w:r>
      <w:r>
        <w:t xml:space="preserve"> </w:t>
      </w:r>
      <w:r>
        <w:t xml:space="preserve">+20 3 555 0142</w:t>
      </w:r>
    </w:p>
    <w:bookmarkEnd w:id="23"/>
    <w:bookmarkStart w:id="24" w:name="prepared-for-client"/>
    <w:p>
      <w:pPr>
        <w:pStyle w:val="Heading3"/>
      </w:pPr>
      <w:r>
        <w:t xml:space="preserve">Prepared For (Client)</w:t>
      </w:r>
    </w:p>
    <w:p>
      <w:pPr>
        <w:pStyle w:val="FirstParagraph"/>
      </w:pPr>
      <w:r>
        <w:rPr>
          <w:bCs/>
          <w:b/>
        </w:rPr>
        <w:t xml:space="preserve">Client Name:</w:t>
      </w:r>
      <w:r>
        <w:t xml:space="preserve"> </w:t>
      </w:r>
      <w:r>
        <w:t xml:space="preserve">[Client Organization / Individual Name]</w:t>
      </w:r>
    </w:p>
    <w:p>
      <w:pPr>
        <w:pStyle w:val="BodyText"/>
      </w:pPr>
      <w:r>
        <w:rPr>
          <w:bCs/>
          <w:b/>
        </w:rPr>
        <w:t xml:space="preserve">Address:</w:t>
      </w:r>
      <w:r>
        <w:t xml:space="preserve"> </w:t>
      </w:r>
      <w:r>
        <w:t xml:space="preserve">[Client Address], Egypt Alexandria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[client.email@example.com]</w:t>
      </w:r>
    </w:p>
    <w:bookmarkEnd w:id="24"/>
    <w:bookmarkStart w:id="25" w:name="project-reference"/>
    <w:p>
      <w:pPr>
        <w:pStyle w:val="Heading3"/>
      </w:pPr>
      <w:r>
        <w:t xml:space="preserve">Project Reference</w:t>
      </w:r>
    </w:p>
    <w:p>
      <w:pPr>
        <w:pStyle w:val="FirstParagraph"/>
      </w:pPr>
      <w:r>
        <w:rPr>
          <w:bCs/>
          <w:b/>
        </w:rPr>
        <w:t xml:space="preserve">Project Title:</w:t>
      </w:r>
      <w:r>
        <w:t xml:space="preserve"> </w:t>
      </w:r>
      <w:r>
        <w:t xml:space="preserve">Academic Researcher Engagement – Multi-Disciplinary Study</w:t>
      </w:r>
    </w:p>
    <w:p>
      <w:pPr>
        <w:pStyle w:val="BodyText"/>
      </w:pPr>
      <w:r>
        <w:rPr>
          <w:bCs/>
          <w:b/>
        </w:rPr>
        <w:t xml:space="preserve">Reference No.:</w:t>
      </w:r>
      <w:r>
        <w:t xml:space="preserve"> </w:t>
      </w:r>
      <w:r>
        <w:t xml:space="preserve">PRJ-ALX-2025-118</w:t>
      </w:r>
    </w:p>
    <w:p>
      <w:pPr>
        <w:pStyle w:val="BodyText"/>
      </w:pPr>
      <w:r>
        <w:rPr>
          <w:bCs/>
          <w:b/>
        </w:rPr>
        <w:t xml:space="preserve">Duration:</w:t>
      </w:r>
      <w:r>
        <w:t xml:space="preserve"> </w:t>
      </w:r>
      <w:r>
        <w:t xml:space="preserve">6 Months (July 2025 – December 2025)</w:t>
      </w:r>
    </w:p>
    <w:p>
      <w:pPr>
        <w:pStyle w:val="BodyText"/>
      </w:pPr>
      <w:r>
        <w:rPr>
          <w:bCs/>
          <w:b/>
        </w:rPr>
        <w:t xml:space="preserve">Primary Location:</w:t>
      </w:r>
      <w:r>
        <w:t xml:space="preserve"> </w:t>
      </w:r>
      <w:r>
        <w:t xml:space="preserve">Egypt Alexandria</w:t>
      </w:r>
    </w:p>
    <w:bookmarkEnd w:id="25"/>
    <w:bookmarkStart w:id="26" w:name="X14953c45e1cce4ddefc72a6d790efdd03f4332c"/>
    <w:p>
      <w:pPr>
        <w:pStyle w:val="Heading2"/>
      </w:pPr>
      <w:r>
        <w:t xml:space="preserve">Scope of Work – Academic Researcher Services</w:t>
      </w:r>
    </w:p>
    <w:p>
      <w:pPr>
        <w:pStyle w:val="FirstParagraph"/>
      </w:pPr>
      <w:r>
        <w:t xml:space="preserve">This Quotation Estimate outlines the professional fees and associated costs for the engagement of a qualified Academic Researcher to conduct, supervise, and deliver a comprehensive multi-disciplinary research programme within Egypt Alexandria. The Academic Researcher will be responsible for designing the research methodology, collecting and analysing data, producing peer-reviewed publications, and presenting findings at relevant academic conferences held in and around Alexandria. All services will be delivered in accordance with the ethical standards and academic integrity protocols established by the Alexandria University Research Ethics Board and the Egyptian National Research Authority.</w:t>
      </w:r>
    </w:p>
    <w:bookmarkEnd w:id="26"/>
    <w:bookmarkStart w:id="27" w:name="itemised-quotation-estimate-breakdown"/>
    <w:p>
      <w:pPr>
        <w:pStyle w:val="Heading2"/>
      </w:pPr>
      <w:r>
        <w:t xml:space="preserve">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Academic Researcher – Senior Research Fellow (PhD) – Monthly Retainer for research design, literature review, and methodology development in Egypt Alexandria</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2</w:t>
            </w:r>
          </w:p>
        </w:tc>
        <w:tc>
          <w:tcPr/>
          <w:p>
            <w:pPr>
              <w:pStyle w:val="Compact"/>
              <w:jc w:val="left"/>
            </w:pPr>
            <w:r>
              <w:t xml:space="preserve">Academic Researcher – Junior Research Associate (MSc) – Data collection, fieldwork coordination, and laboratory support within Alexandria universities and research centres</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22,000</w:t>
            </w:r>
          </w:p>
        </w:tc>
        <w:tc>
          <w:tcPr/>
          <w:p>
            <w:pPr>
              <w:pStyle w:val="Compact"/>
              <w:jc w:val="left"/>
            </w:pPr>
            <w:r>
              <w:t xml:space="preserve">132,000</w:t>
            </w:r>
          </w:p>
        </w:tc>
      </w:tr>
      <w:tr>
        <w:tc>
          <w:tcPr/>
          <w:p>
            <w:pPr>
              <w:pStyle w:val="Compact"/>
              <w:jc w:val="left"/>
            </w:pPr>
            <w:r>
              <w:t xml:space="preserve">3</w:t>
            </w:r>
          </w:p>
        </w:tc>
        <w:tc>
          <w:tcPr/>
          <w:p>
            <w:pPr>
              <w:pStyle w:val="Compact"/>
              <w:jc w:val="left"/>
            </w:pPr>
            <w:r>
              <w:t xml:space="preserve">Research supervision and mentorship sessions (weekly one-on-one meetings between the Academic Researcher team and client stakeholders)</w:t>
            </w:r>
          </w:p>
        </w:tc>
        <w:tc>
          <w:tcPr/>
          <w:p>
            <w:pPr>
              <w:pStyle w:val="Compact"/>
              <w:jc w:val="left"/>
            </w:pPr>
            <w:r>
              <w:t xml:space="preserve">24</w:t>
            </w:r>
          </w:p>
        </w:tc>
        <w:tc>
          <w:tcPr/>
          <w:p>
            <w:pPr>
              <w:pStyle w:val="Compact"/>
              <w:jc w:val="left"/>
            </w:pPr>
            <w:r>
              <w:t xml:space="preserve">Sessions</w:t>
            </w:r>
          </w:p>
        </w:tc>
        <w:tc>
          <w:tcPr/>
          <w:p>
            <w:pPr>
              <w:pStyle w:val="Compact"/>
              <w:jc w:val="left"/>
            </w:pPr>
            <w:r>
              <w:t xml:space="preserve">1,500</w:t>
            </w:r>
          </w:p>
        </w:tc>
        <w:tc>
          <w:tcPr/>
          <w:p>
            <w:pPr>
              <w:pStyle w:val="Compact"/>
              <w:jc w:val="left"/>
            </w:pPr>
            <w:r>
              <w:t xml:space="preserve">36,000</w:t>
            </w:r>
          </w:p>
        </w:tc>
      </w:tr>
      <w:tr>
        <w:tc>
          <w:tcPr/>
          <w:p>
            <w:pPr>
              <w:pStyle w:val="Compact"/>
              <w:jc w:val="left"/>
            </w:pPr>
            <w:r>
              <w:t xml:space="preserve">4</w:t>
            </w:r>
          </w:p>
        </w:tc>
        <w:tc>
          <w:tcPr/>
          <w:p>
            <w:pPr>
              <w:pStyle w:val="Compact"/>
              <w:jc w:val="left"/>
            </w:pPr>
            <w:r>
              <w:t xml:space="preserve">Peer-reviewed journal publication fees (targeting Q1/Q2 journals; includes open-access charges for up to 3 papers)</w:t>
            </w:r>
          </w:p>
        </w:tc>
        <w:tc>
          <w:tcPr/>
          <w:p>
            <w:pPr>
              <w:pStyle w:val="Compact"/>
              <w:jc w:val="left"/>
            </w:pPr>
            <w:r>
              <w:t xml:space="preserve">3</w:t>
            </w:r>
          </w:p>
        </w:tc>
        <w:tc>
          <w:tcPr/>
          <w:p>
            <w:pPr>
              <w:pStyle w:val="Compact"/>
              <w:jc w:val="left"/>
            </w:pPr>
            <w:r>
              <w:t xml:space="preserve">Papers</w:t>
            </w:r>
          </w:p>
        </w:tc>
        <w:tc>
          <w:tcPr/>
          <w:p>
            <w:pPr>
              <w:pStyle w:val="Compact"/>
              <w:jc w:val="left"/>
            </w:pPr>
            <w:r>
              <w:t xml:space="preserve">18,000</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Conference presentation and travel within Egypt Alexandria and surrounding governorates (registration, accommodation, local transport)</w:t>
            </w:r>
          </w:p>
        </w:tc>
        <w:tc>
          <w:tcPr/>
          <w:p>
            <w:pPr>
              <w:pStyle w:val="Compact"/>
              <w:jc w:val="left"/>
            </w:pPr>
            <w:r>
              <w:t xml:space="preserve">2</w:t>
            </w:r>
          </w:p>
        </w:tc>
        <w:tc>
          <w:tcPr/>
          <w:p>
            <w:pPr>
              <w:pStyle w:val="Compact"/>
              <w:jc w:val="left"/>
            </w:pPr>
            <w:r>
              <w:t xml:space="preserve">Conferences</w:t>
            </w:r>
          </w:p>
        </w:tc>
        <w:tc>
          <w:tcPr/>
          <w:p>
            <w:pPr>
              <w:pStyle w:val="Compact"/>
              <w:jc w:val="left"/>
            </w:pPr>
            <w:r>
              <w:t xml:space="preserve">12,500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Access to Alexandria University research databases, digital archives, and specialised laboratory equipment</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8,000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Translation and localisation of research deliverables (Arabic/English bilingual reporting for Egyptian regulatory compliance)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8</w:t>
            </w:r>
          </w:p>
        </w:tc>
        <w:tc>
          <w:tcPr/>
          <w:p>
            <w:pPr>
              <w:pStyle w:val="Compact"/>
              <w:jc w:val="left"/>
            </w:pPr>
            <w:r>
              <w:t xml:space="preserve">Project management, administrative coordination, and final comprehensive report compilation by the Academic Researcher team</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20,000</w:t>
            </w:r>
          </w:p>
        </w:tc>
        <w:tc>
          <w:tcPr/>
          <w:p>
            <w:pPr>
              <w:pStyle w:val="Compact"/>
              <w:jc w:val="left"/>
            </w:pPr>
            <w:r>
              <w:t xml:space="preserve">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600,000 EGP</w:t>
            </w:r>
          </w:p>
        </w:tc>
      </w:tr>
      <w:tr>
        <w:tc>
          <w:tcPr/>
          <w:p>
            <w:pPr>
              <w:pStyle w:val="Compact"/>
              <w:jc w:val="left"/>
            </w:pPr>
            <w:r>
              <w:t xml:space="preserve">VAT (14% – Egyptian Tax Authority)</w:t>
            </w:r>
          </w:p>
        </w:tc>
        <w:tc>
          <w:tcPr/>
          <w:p>
            <w:pPr>
              <w:pStyle w:val="Compact"/>
              <w:jc w:val="right"/>
            </w:pPr>
            <w:r>
              <w:t xml:space="preserve">84,000 EGP</w:t>
            </w:r>
          </w:p>
        </w:tc>
      </w:tr>
      <w:tr>
        <w:tc>
          <w:tcPr/>
          <w:p>
            <w:pPr>
              <w:pStyle w:val="Compact"/>
              <w:jc w:val="left"/>
            </w:pPr>
            <w:r>
              <w:t xml:space="preserve">Grand Total (Quotation Estimate)</w:t>
            </w:r>
          </w:p>
        </w:tc>
        <w:tc>
          <w:tcPr/>
          <w:p>
            <w:pPr>
              <w:pStyle w:val="Compact"/>
              <w:jc w:val="right"/>
            </w:pPr>
            <w:r>
              <w:t xml:space="preserve">684,000 EGP</w:t>
            </w:r>
          </w:p>
        </w:tc>
      </w:tr>
    </w:tbl>
    <w:bookmarkEnd w:id="27"/>
    <w:bookmarkStart w:id="28" w:name="payment-terms"/>
    <w:p>
      <w:pPr>
        <w:pStyle w:val="Heading2"/>
      </w:pPr>
      <w:r>
        <w:t xml:space="preserve">Payment Terms</w:t>
      </w:r>
    </w:p>
    <w:p>
      <w:pPr>
        <w:pStyle w:val="FirstParagraph"/>
      </w:pPr>
      <w:r>
        <w:t xml:space="preserve">This Quotation Estimate shall be settled in three equal instalments: 40% upon contract execution, 30% upon completion of the third month of the Academic Researcher engagement, and 30% upon final delivery of all research outputs. All payments shall be made in Egyptian Pounds (EGP) via bank transfer to the Alexandria Academic Research Institute's designated account. Late payments shall incur a penalty of 2% per month as stipulated under Egyptian commercial law.</w:t>
      </w:r>
    </w:p>
    <w:bookmarkEnd w:id="28"/>
    <w:bookmarkStart w:id="29" w:name="terms-and-conditions"/>
    <w:p>
      <w:pPr>
        <w:pStyle w:val="Heading2"/>
      </w:pPr>
      <w:r>
        <w:t xml:space="preserve">Terms and Conditions</w:t>
      </w:r>
    </w:p>
    <w:p>
      <w:pPr>
        <w:numPr>
          <w:ilvl w:val="0"/>
          <w:numId w:val="1001"/>
        </w:numPr>
        <w:pStyle w:val="Compact"/>
      </w:pPr>
      <w:r>
        <w:t xml:space="preserve">This Quotation Estimate is valid for thirty (30) calendar days from the date of issue. Beyond this period, pricing for the Academic Researcher services may be subject to revision based on market conditions in Egypt Alexandria.</w:t>
      </w:r>
    </w:p>
    <w:p>
      <w:pPr>
        <w:numPr>
          <w:ilvl w:val="0"/>
          <w:numId w:val="1001"/>
        </w:numPr>
        <w:pStyle w:val="Compact"/>
      </w:pPr>
      <w:r>
        <w:t xml:space="preserve">The Academic Researcher and all supporting personnel shall comply with all applicable Egyptian laws, including the Egyptian Research Ethics Act and data protection regulations issued by the National Data Protection Authority.</w:t>
      </w:r>
    </w:p>
    <w:p>
      <w:pPr>
        <w:numPr>
          <w:ilvl w:val="0"/>
          <w:numId w:val="1001"/>
        </w:numPr>
        <w:pStyle w:val="Compact"/>
      </w:pPr>
      <w:r>
        <w:t xml:space="preserve">All intellectual property generated during the engagement shall be jointly owned by the client and the Academic Researcher team, as detailed in the separate Intellectual Property Addendum.</w:t>
      </w:r>
    </w:p>
    <w:p>
      <w:pPr>
        <w:numPr>
          <w:ilvl w:val="0"/>
          <w:numId w:val="1001"/>
        </w:numPr>
        <w:pStyle w:val="Compact"/>
      </w:pPr>
      <w:r>
        <w:t xml:space="preserve">The client agrees to provide timely access to all necessary facilities, data sets, and institutional partnerships within Egypt Alexandria required for the successful execution of the research programme.</w:t>
      </w:r>
    </w:p>
    <w:p>
      <w:pPr>
        <w:numPr>
          <w:ilvl w:val="0"/>
          <w:numId w:val="1001"/>
        </w:numPr>
        <w:pStyle w:val="Compact"/>
      </w:pPr>
      <w:r>
        <w:t xml:space="preserve">Any scope changes or additional deliverables requested by the client beyond the original Quotation Estimate shall be subject to a written change order and additional fees at the rates specified herein.</w:t>
      </w:r>
    </w:p>
    <w:p>
      <w:pPr>
        <w:numPr>
          <w:ilvl w:val="0"/>
          <w:numId w:val="1001"/>
        </w:numPr>
        <w:pStyle w:val="Compact"/>
      </w:pPr>
      <w:r>
        <w:t xml:space="preserve">Force majeure events, including but not limited to government-mandated closures of research institutions in Alexandria, shall extend the project timeline proportionally without additional cost to either party.</w:t>
      </w:r>
    </w:p>
    <w:p>
      <w:pPr>
        <w:numPr>
          <w:ilvl w:val="0"/>
          <w:numId w:val="1001"/>
        </w:numPr>
        <w:pStyle w:val="Compact"/>
      </w:pPr>
      <w:r>
        <w:t xml:space="preserve">Disputes arising from this Quotation Estimate shall be resolved through arbitration in accordance with the rules of the Egyptian Arbitration Centre, with the seat of arbitration in Alexandria, Egypt.</w:t>
      </w:r>
    </w:p>
    <w:bookmarkEnd w:id="29"/>
    <w:bookmarkStart w:id="30" w:name="acceptance-and-authorisation"/>
    <w:p>
      <w:pPr>
        <w:pStyle w:val="Heading2"/>
      </w:pPr>
      <w:r>
        <w:t xml:space="preserve">Acceptance and Authorisation</w:t>
      </w:r>
    </w:p>
    <w:p>
      <w:pPr>
        <w:pStyle w:val="FirstParagraph"/>
      </w:pPr>
      <w:r>
        <w:t xml:space="preserve">By signing below, both parties acknowledge and accept the terms, conditions, and pricing outlined in this Quotation Estimate for the engagement of the Academic Researcher in Egypt Alexandria. This document, once countersigned, constitutes a binding agreement between the parties for the duration of the project.</w:t>
      </w:r>
    </w:p>
    <w:p>
      <w:pPr>
        <w:pStyle w:val="BodyText"/>
      </w:pPr>
      <w:r>
        <w:t xml:space="preserve">For the Provider – Alexandria Academic Research Institute</w:t>
      </w:r>
    </w:p>
    <w:p>
      <w:pPr>
        <w:pStyle w:val="BodyText"/>
      </w:pPr>
      <w:r>
        <w:t xml:space="preserve">Name: _________________________</w:t>
      </w:r>
      <w:r>
        <w:br/>
      </w:r>
      <w:r>
        <w:t xml:space="preserve">Title: Director of Research Operations</w:t>
      </w:r>
      <w:r>
        <w:br/>
      </w:r>
      <w:r>
        <w:t xml:space="preserve">Date: _________________________</w:t>
      </w:r>
    </w:p>
    <w:p>
      <w:pPr>
        <w:pStyle w:val="BodyText"/>
      </w:pPr>
      <w:r>
        <w:t xml:space="preserve">For the Client</w:t>
      </w:r>
    </w:p>
    <w:p>
      <w:pPr>
        <w:pStyle w:val="BodyText"/>
      </w:pPr>
      <w:r>
        <w:t xml:space="preserve">Name: _________________________</w:t>
      </w:r>
      <w:r>
        <w:br/>
      </w:r>
      <w:r>
        <w:t xml:space="preserve">Title: _________________________</w:t>
      </w:r>
      <w:r>
        <w:br/>
      </w:r>
      <w:r>
        <w:t xml:space="preserve">Date: _________________________</w:t>
      </w:r>
    </w:p>
    <w:p>
      <w:pPr>
        <w:pStyle w:val="BodyText"/>
      </w:pPr>
      <w:r>
        <w:t xml:space="preserve">Quotation Estimate QTE-ALX-2025-0472 | Academic Researcher Services | Egypt Alexandria</w:t>
      </w:r>
    </w:p>
    <w:p>
      <w:pPr>
        <w:pStyle w:val="BodyText"/>
      </w:pPr>
      <w:r>
        <w:t xml:space="preserve">Alexandria Academic Research Institute – 42 Corniche El-Nil, Smouha, Alexandria, Egypt | CR: 118-442-2019</w:t>
      </w:r>
    </w:p>
    <w:p>
      <w:pPr>
        <w:pStyle w:val="BodyText"/>
      </w:pPr>
      <w:r>
        <w:t xml:space="preserve">This document is confidential and intended solely for the named client. Unauthorised reproduction or distribution is prohibited under Egyptian intellectual property law.</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Academic Researcher Services - Egypt Alexandria</dc:title>
  <dc:creator/>
  <dc:language>en</dc:language>
  <cp:keywords/>
  <dcterms:created xsi:type="dcterms:W3CDTF">2026-10-10T08:41:43Z</dcterms:created>
  <dcterms:modified xsi:type="dcterms:W3CDTF">2026-10-10T08:41:43Z</dcterms:modified>
</cp:coreProperties>
</file>

<file path=docProps/custom.xml><?xml version="1.0" encoding="utf-8"?>
<Properties xmlns="http://schemas.openxmlformats.org/officeDocument/2006/custom-properties" xmlns:vt="http://schemas.openxmlformats.org/officeDocument/2006/docPropsVTypes"/>
</file>