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Academic Researcher Services — Egypt Cairo</w:t>
      </w:r>
    </w:p>
    <w:p>
      <w:pPr>
        <w:pStyle w:val="BodyText"/>
      </w:pPr>
      <w:r>
        <w:t xml:space="preserve">Nile Delta Research &amp; Consultancy Group</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QTE-EGY-CAI-2025-0472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 (Client)</w:t>
            </w:r>
          </w:p>
        </w:tc>
        <w:tc>
          <w:tcPr/>
          <w:p>
            <w:pPr>
              <w:pStyle w:val="Compact"/>
              <w:jc w:val="left"/>
            </w:pPr>
            <w:r>
              <w:t xml:space="preserve">Faculty of Social Sciences, Cairo University — 12611 Giza, Egypt Cairo</w:t>
            </w:r>
          </w:p>
        </w:tc>
      </w:tr>
      <w:tr>
        <w:tc>
          <w:tcPr/>
          <w:p>
            <w:pPr>
              <w:pStyle w:val="Compact"/>
              <w:jc w:val="left"/>
            </w:pPr>
            <w:r>
              <w:t xml:space="preserve">Prepared By</w:t>
            </w:r>
          </w:p>
        </w:tc>
        <w:tc>
          <w:tcPr/>
          <w:p>
            <w:pPr>
              <w:pStyle w:val="Compact"/>
              <w:jc w:val="left"/>
            </w:pPr>
            <w:r>
              <w:t xml:space="preserve">Nile Delta Research &amp; Consultancy Group, 45 El Tahrir Square, Downtown, Egypt Cairo</w:t>
            </w:r>
          </w:p>
        </w:tc>
      </w:tr>
      <w:tr>
        <w:tc>
          <w:tcPr/>
          <w:p>
            <w:pPr>
              <w:pStyle w:val="Compact"/>
              <w:jc w:val="left"/>
            </w:pPr>
            <w:r>
              <w:t xml:space="preserve">Contact Person</w:t>
            </w:r>
          </w:p>
        </w:tc>
        <w:tc>
          <w:tcPr/>
          <w:p>
            <w:pPr>
              <w:pStyle w:val="Compact"/>
              <w:jc w:val="left"/>
            </w:pPr>
            <w:r>
              <w:t xml:space="preserve">Dr. Amira Hassan, Director of Research Operations</w:t>
            </w:r>
          </w:p>
        </w:tc>
      </w:tr>
      <w:tr>
        <w:tc>
          <w:tcPr/>
          <w:p>
            <w:pPr>
              <w:pStyle w:val="Compact"/>
              <w:jc w:val="left"/>
            </w:pPr>
            <w:r>
              <w:t xml:space="preserve">Currency</w:t>
            </w:r>
          </w:p>
        </w:tc>
        <w:tc>
          <w:tcPr/>
          <w:p>
            <w:pPr>
              <w:pStyle w:val="Compact"/>
              <w:jc w:val="left"/>
            </w:pPr>
            <w:r>
              <w:t xml:space="preserve">Egyptian Pound (EGP) / US Dollar (USD)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Nile Delta Research &amp; Consultancy Group to formally outline the costs, deliverables, and professional terms associated with the engagement of a qualified</w:t>
      </w:r>
      <w:r>
        <w:t xml:space="preserve"> </w:t>
      </w:r>
      <w:r>
        <w:t xml:space="preserve">Academic Researcher</w:t>
      </w:r>
      <w:r>
        <w:t xml:space="preserve"> </w:t>
      </w:r>
      <w:r>
        <w:t xml:space="preserve">to conduct a comprehensive mixed-methods study on urban development patterns in the Greater Cairo metropolitan area. The engagement is specifically tailored to the academic, regulatory, and logistical environment of</w:t>
      </w:r>
      <w:r>
        <w:t xml:space="preserve"> </w:t>
      </w:r>
      <w:r>
        <w:t xml:space="preserve">Egypt Cairo</w:t>
      </w:r>
      <w:r>
        <w:t xml:space="preserve">, ensuring full compliance with local research ethics, data protection regulations, and institutional review board requirements.</w:t>
      </w:r>
    </w:p>
    <w:p>
      <w:pPr>
        <w:pStyle w:val="BodyText"/>
      </w:pPr>
      <w:r>
        <w:t xml:space="preserve">The</w:t>
      </w:r>
      <w:r>
        <w:t xml:space="preserve"> </w:t>
      </w:r>
      <w:r>
        <w:t xml:space="preserve">Academic Researcher</w:t>
      </w:r>
      <w:r>
        <w:t xml:space="preserve"> </w:t>
      </w:r>
      <w:r>
        <w:t xml:space="preserve">proposed for this assignment holds a Ph.D. in Urban Planning from the American University in Cairo, possesses over twelve years of peer-reviewed publication experience, and has previously led three funded research projects in partnership with the Egyptian National Research Centre. The researcher will be based in Egypt Cairo for the full duration of the project to facilitate fieldwork, stakeholder interviews, and institutional coordination.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Academic Researcher monthly professional fee (Ph.D. level, full-time dedication)</w:t>
            </w:r>
          </w:p>
        </w:tc>
        <w:tc>
          <w:tcPr/>
          <w:p>
            <w:pPr>
              <w:pStyle w:val="Compact"/>
              <w:jc w:val="left"/>
            </w:pPr>
            <w:r>
              <w:t xml:space="preserve">6 months</w:t>
            </w:r>
          </w:p>
        </w:tc>
        <w:tc>
          <w:tcPr/>
          <w:p>
            <w:pPr>
              <w:pStyle w:val="Compact"/>
              <w:jc w:val="left"/>
            </w:pPr>
            <w:r>
              <w:t xml:space="preserve">45,000 / month</w:t>
            </w:r>
          </w:p>
        </w:tc>
        <w:tc>
          <w:tcPr/>
          <w:p>
            <w:pPr>
              <w:pStyle w:val="Compact"/>
              <w:jc w:val="left"/>
            </w:pPr>
            <w:r>
              <w:t xml:space="preserve">270,000</w:t>
            </w:r>
          </w:p>
        </w:tc>
      </w:tr>
      <w:tr>
        <w:tc>
          <w:tcPr/>
          <w:p>
            <w:pPr>
              <w:pStyle w:val="Compact"/>
              <w:jc w:val="left"/>
            </w:pPr>
            <w:r>
              <w:t xml:space="preserve">2</w:t>
            </w:r>
          </w:p>
        </w:tc>
        <w:tc>
          <w:tcPr/>
          <w:p>
            <w:pPr>
              <w:pStyle w:val="Compact"/>
              <w:jc w:val="left"/>
            </w:pPr>
            <w:r>
              <w:t xml:space="preserve">Literature review and systematic bibliographic analysis (Arabic and English sources)</w:t>
            </w:r>
          </w:p>
        </w:tc>
        <w:tc>
          <w:tcPr/>
          <w:p>
            <w:pPr>
              <w:pStyle w:val="Compact"/>
              <w:jc w:val="left"/>
            </w:pPr>
            <w:r>
              <w:t xml:space="preserve">1 month</w:t>
            </w:r>
          </w:p>
        </w:tc>
        <w:tc>
          <w:tcPr/>
          <w:p>
            <w:pPr>
              <w:pStyle w:val="Compact"/>
              <w:jc w:val="left"/>
            </w:pPr>
            <w:r>
              <w:t xml:space="preserve">35,000 (lump sum)</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Fieldwork coordination and data collection in 12 districts of Egypt Cairo</w:t>
            </w:r>
          </w:p>
        </w:tc>
        <w:tc>
          <w:tcPr/>
          <w:p>
            <w:pPr>
              <w:pStyle w:val="Compact"/>
              <w:jc w:val="left"/>
            </w:pPr>
            <w:r>
              <w:t xml:space="preserve">3 months</w:t>
            </w:r>
          </w:p>
        </w:tc>
        <w:tc>
          <w:tcPr/>
          <w:p>
            <w:pPr>
              <w:pStyle w:val="Compact"/>
              <w:jc w:val="left"/>
            </w:pPr>
            <w:r>
              <w:t xml:space="preserve">28,000 / month</w:t>
            </w:r>
          </w:p>
        </w:tc>
        <w:tc>
          <w:tcPr/>
          <w:p>
            <w:pPr>
              <w:pStyle w:val="Compact"/>
              <w:jc w:val="left"/>
            </w:pPr>
            <w:r>
              <w:t xml:space="preserve">84,000</w:t>
            </w:r>
          </w:p>
        </w:tc>
      </w:tr>
      <w:tr>
        <w:tc>
          <w:tcPr/>
          <w:p>
            <w:pPr>
              <w:pStyle w:val="Compact"/>
              <w:jc w:val="left"/>
            </w:pPr>
            <w:r>
              <w:t xml:space="preserve">4</w:t>
            </w:r>
          </w:p>
        </w:tc>
        <w:tc>
          <w:tcPr/>
          <w:p>
            <w:pPr>
              <w:pStyle w:val="Compact"/>
              <w:jc w:val="left"/>
            </w:pPr>
            <w:r>
              <w:t xml:space="preserve">Stakeholder interviews with municipal officials, NGOs, and community leaders in Cairo</w:t>
            </w:r>
          </w:p>
        </w:tc>
        <w:tc>
          <w:tcPr/>
          <w:p>
            <w:pPr>
              <w:pStyle w:val="Compact"/>
              <w:jc w:val="left"/>
            </w:pPr>
            <w:r>
              <w:t xml:space="preserve">2 months</w:t>
            </w:r>
          </w:p>
        </w:tc>
        <w:tc>
          <w:tcPr/>
          <w:p>
            <w:pPr>
              <w:pStyle w:val="Compact"/>
              <w:jc w:val="left"/>
            </w:pPr>
            <w:r>
              <w:t xml:space="preserve">22,000 / month</w:t>
            </w:r>
          </w:p>
        </w:tc>
        <w:tc>
          <w:tcPr/>
          <w:p>
            <w:pPr>
              <w:pStyle w:val="Compact"/>
              <w:jc w:val="left"/>
            </w:pPr>
            <w:r>
              <w:t xml:space="preserve">44,000</w:t>
            </w:r>
          </w:p>
        </w:tc>
      </w:tr>
      <w:tr>
        <w:tc>
          <w:tcPr/>
          <w:p>
            <w:pPr>
              <w:pStyle w:val="Compact"/>
              <w:jc w:val="left"/>
            </w:pPr>
            <w:r>
              <w:t xml:space="preserve">5</w:t>
            </w:r>
          </w:p>
        </w:tc>
        <w:tc>
          <w:tcPr/>
          <w:p>
            <w:pPr>
              <w:pStyle w:val="Compact"/>
              <w:jc w:val="left"/>
            </w:pPr>
            <w:r>
              <w:t xml:space="preserve">Quantitative and qualitative data analysis using SPSS and NVivo software</w:t>
            </w:r>
          </w:p>
        </w:tc>
        <w:tc>
          <w:tcPr/>
          <w:p>
            <w:pPr>
              <w:pStyle w:val="Compact"/>
              <w:jc w:val="left"/>
            </w:pPr>
            <w:r>
              <w:t xml:space="preserve">2 months</w:t>
            </w:r>
          </w:p>
        </w:tc>
        <w:tc>
          <w:tcPr/>
          <w:p>
            <w:pPr>
              <w:pStyle w:val="Compact"/>
              <w:jc w:val="left"/>
            </w:pPr>
            <w:r>
              <w:t xml:space="preserve">30,000 / month</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Drafting of research report, journal articles, and policy brief for submission</w:t>
            </w:r>
          </w:p>
        </w:tc>
        <w:tc>
          <w:tcPr/>
          <w:p>
            <w:pPr>
              <w:pStyle w:val="Compact"/>
              <w:jc w:val="left"/>
            </w:pPr>
            <w:r>
              <w:t xml:space="preserve">2 months</w:t>
            </w:r>
          </w:p>
        </w:tc>
        <w:tc>
          <w:tcPr/>
          <w:p>
            <w:pPr>
              <w:pStyle w:val="Compact"/>
              <w:jc w:val="left"/>
            </w:pPr>
            <w:r>
              <w:t xml:space="preserve">32,000 / month</w:t>
            </w:r>
          </w:p>
        </w:tc>
        <w:tc>
          <w:tcPr/>
          <w:p>
            <w:pPr>
              <w:pStyle w:val="Compact"/>
              <w:jc w:val="left"/>
            </w:pPr>
            <w:r>
              <w:t xml:space="preserve">64,000</w:t>
            </w:r>
          </w:p>
        </w:tc>
      </w:tr>
      <w:tr>
        <w:tc>
          <w:tcPr/>
          <w:p>
            <w:pPr>
              <w:pStyle w:val="Compact"/>
              <w:jc w:val="left"/>
            </w:pPr>
            <w:r>
              <w:t xml:space="preserve">7</w:t>
            </w:r>
          </w:p>
        </w:tc>
        <w:tc>
          <w:tcPr/>
          <w:p>
            <w:pPr>
              <w:pStyle w:val="Compact"/>
              <w:jc w:val="left"/>
            </w:pPr>
            <w:r>
              <w:t xml:space="preserve">Travel, accommodation, and local transportation within Egypt Cairo</w:t>
            </w:r>
          </w:p>
        </w:tc>
        <w:tc>
          <w:tcPr/>
          <w:p>
            <w:pPr>
              <w:pStyle w:val="Compact"/>
              <w:jc w:val="left"/>
            </w:pPr>
            <w:r>
              <w:t xml:space="preserve">6 months</w:t>
            </w:r>
          </w:p>
        </w:tc>
        <w:tc>
          <w:tcPr/>
          <w:p>
            <w:pPr>
              <w:pStyle w:val="Compact"/>
              <w:jc w:val="left"/>
            </w:pPr>
            <w:r>
              <w:t xml:space="preserve">12,000 / month</w:t>
            </w:r>
          </w:p>
        </w:tc>
        <w:tc>
          <w:tcPr/>
          <w:p>
            <w:pPr>
              <w:pStyle w:val="Compact"/>
              <w:jc w:val="left"/>
            </w:pPr>
            <w:r>
              <w:t xml:space="preserve">72,000</w:t>
            </w:r>
          </w:p>
        </w:tc>
      </w:tr>
      <w:tr>
        <w:tc>
          <w:tcPr/>
          <w:p>
            <w:pPr>
              <w:pStyle w:val="Compact"/>
              <w:jc w:val="left"/>
            </w:pPr>
            <w:r>
              <w:t xml:space="preserve">8</w:t>
            </w:r>
          </w:p>
        </w:tc>
        <w:tc>
          <w:tcPr/>
          <w:p>
            <w:pPr>
              <w:pStyle w:val="Compact"/>
              <w:jc w:val="left"/>
            </w:pPr>
            <w:r>
              <w:t xml:space="preserve">Research ethics committee submission and institutional review fees (Cairo University IRB)</w:t>
            </w:r>
          </w:p>
        </w:tc>
        <w:tc>
          <w:tcPr/>
          <w:p>
            <w:pPr>
              <w:pStyle w:val="Compact"/>
              <w:jc w:val="left"/>
            </w:pPr>
            <w:r>
              <w:t xml:space="preserve">One-time</w:t>
            </w:r>
          </w:p>
        </w:tc>
        <w:tc>
          <w:tcPr/>
          <w:p>
            <w:pPr>
              <w:pStyle w:val="Compact"/>
              <w:jc w:val="left"/>
            </w:pPr>
            <w:r>
              <w:t xml:space="preserve">8,500 (lump sum)</w:t>
            </w:r>
          </w:p>
        </w:tc>
        <w:tc>
          <w:tcPr/>
          <w:p>
            <w:pPr>
              <w:pStyle w:val="Compact"/>
              <w:jc w:val="left"/>
            </w:pPr>
            <w:r>
              <w:t xml:space="preserve">8,500</w:t>
            </w:r>
          </w:p>
        </w:tc>
      </w:tr>
      <w:tr>
        <w:tc>
          <w:tcPr/>
          <w:p>
            <w:pPr>
              <w:pStyle w:val="Compact"/>
              <w:jc w:val="left"/>
            </w:pPr>
            <w:r>
              <w:t xml:space="preserve">9</w:t>
            </w:r>
          </w:p>
        </w:tc>
        <w:tc>
          <w:tcPr/>
          <w:p>
            <w:pPr>
              <w:pStyle w:val="Compact"/>
              <w:jc w:val="left"/>
            </w:pPr>
            <w:r>
              <w:t xml:space="preserve">Translation of final deliverables (Arabic to English and vice versa)</w:t>
            </w:r>
          </w:p>
        </w:tc>
        <w:tc>
          <w:tcPr/>
          <w:p>
            <w:pPr>
              <w:pStyle w:val="Compact"/>
              <w:jc w:val="left"/>
            </w:pPr>
            <w:r>
              <w:t xml:space="preserve">1 month</w:t>
            </w:r>
          </w:p>
        </w:tc>
        <w:tc>
          <w:tcPr/>
          <w:p>
            <w:pPr>
              <w:pStyle w:val="Compact"/>
              <w:jc w:val="left"/>
            </w:pPr>
            <w:r>
              <w:t xml:space="preserve">15,000 (lump sum)</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Project management, reporting, and administrative oversight</w:t>
            </w:r>
          </w:p>
        </w:tc>
        <w:tc>
          <w:tcPr/>
          <w:p>
            <w:pPr>
              <w:pStyle w:val="Compact"/>
              <w:jc w:val="left"/>
            </w:pPr>
            <w:r>
              <w:t xml:space="preserve">6 months</w:t>
            </w:r>
          </w:p>
        </w:tc>
        <w:tc>
          <w:tcPr/>
          <w:p>
            <w:pPr>
              <w:pStyle w:val="Compact"/>
              <w:jc w:val="left"/>
            </w:pPr>
            <w:r>
              <w:t xml:space="preserve">10,000 / month</w:t>
            </w:r>
          </w:p>
        </w:tc>
        <w:tc>
          <w:tcPr/>
          <w:p>
            <w:pPr>
              <w:pStyle w:val="Compact"/>
              <w:jc w:val="left"/>
            </w:pPr>
            <w:r>
              <w:t xml:space="preserve">60,000</w:t>
            </w:r>
          </w:p>
        </w:tc>
      </w:tr>
      <w:tr>
        <w:tc>
          <w:tcPr>
            <w:gridSpan w:val="4"/>
          </w:tcPr>
          <w:p>
            <w:pPr>
              <w:pStyle w:val="Compact"/>
              <w:jc w:val="right"/>
            </w:pPr>
            <w:r>
              <w:t xml:space="preserve">SUBTOTAL</w:t>
            </w:r>
          </w:p>
        </w:tc>
        <w:tc>
          <w:tcPr/>
          <w:p>
            <w:pPr>
              <w:pStyle w:val="Compact"/>
              <w:jc w:val="left"/>
            </w:pPr>
            <w:r>
              <w:t xml:space="preserve">708,500</w:t>
            </w:r>
          </w:p>
        </w:tc>
      </w:tr>
      <w:tr>
        <w:tc>
          <w:tcPr>
            <w:gridSpan w:val="4"/>
          </w:tcPr>
          <w:p>
            <w:pPr>
              <w:pStyle w:val="Compact"/>
              <w:jc w:val="right"/>
            </w:pPr>
            <w:r>
              <w:t xml:space="preserve">VAT (14% — Egyptian Tax Authority)</w:t>
            </w:r>
          </w:p>
        </w:tc>
        <w:tc>
          <w:tcPr/>
          <w:p>
            <w:pPr>
              <w:pStyle w:val="Compact"/>
              <w:jc w:val="left"/>
            </w:pPr>
            <w:r>
              <w:t xml:space="preserve">99,190</w:t>
            </w:r>
          </w:p>
        </w:tc>
      </w:tr>
      <w:tr>
        <w:tc>
          <w:tcPr>
            <w:gridSpan w:val="4"/>
          </w:tcPr>
          <w:p>
            <w:pPr>
              <w:pStyle w:val="Compact"/>
              <w:jc w:val="right"/>
            </w:pPr>
            <w:r>
              <w:t xml:space="preserve">GRAND TOTAL</w:t>
            </w:r>
          </w:p>
        </w:tc>
        <w:tc>
          <w:tcPr/>
          <w:p>
            <w:pPr>
              <w:pStyle w:val="Compact"/>
              <w:jc w:val="left"/>
            </w:pPr>
            <w:r>
              <w:t xml:space="preserve">807,690 EGP</w:t>
            </w:r>
          </w:p>
        </w:tc>
      </w:tr>
      <w:tr>
        <w:tc>
          <w:tcPr>
            <w:gridSpan w:val="4"/>
          </w:tcPr>
          <w:p>
            <w:pPr>
              <w:pStyle w:val="Compact"/>
              <w:jc w:val="right"/>
            </w:pPr>
            <w:r>
              <w:t xml:space="preserve">GRAND TOTAL (USD equivalent at EGP 48.50/USD)</w:t>
            </w:r>
          </w:p>
        </w:tc>
        <w:tc>
          <w:tcPr/>
          <w:p>
            <w:pPr>
              <w:pStyle w:val="Compact"/>
              <w:jc w:val="left"/>
            </w:pPr>
            <w:r>
              <w:t xml:space="preserve">16,653 USD</w:t>
            </w:r>
          </w:p>
        </w:tc>
      </w:tr>
    </w:tbl>
    <w:bookmarkEnd w:id="22"/>
    <w:bookmarkStart w:id="23" w:name="deliverables-and-milestones"/>
    <w:p>
      <w:pPr>
        <w:pStyle w:val="Heading2"/>
      </w:pPr>
      <w:r>
        <w:t xml:space="preserve">3. Deliverables and Milestones</w:t>
      </w:r>
    </w:p>
    <w:p>
      <w:pPr>
        <w:pStyle w:val="FirstParagraph"/>
      </w:pPr>
      <w:r>
        <w:t xml:space="preserve">The</w:t>
      </w:r>
      <w:r>
        <w:t xml:space="preserve"> </w:t>
      </w:r>
      <w:r>
        <w:t xml:space="preserve">Academic Researcher</w:t>
      </w:r>
      <w:r>
        <w:t xml:space="preserve"> </w:t>
      </w:r>
      <w:r>
        <w:t xml:space="preserve">shall deliver the following outputs at defined intervals, all of which are subject to the client's review and written approval before the next phase commences:</w:t>
      </w:r>
    </w:p>
    <w:p>
      <w:pPr>
        <w:numPr>
          <w:ilvl w:val="0"/>
          <w:numId w:val="1001"/>
        </w:numPr>
        <w:pStyle w:val="Compact"/>
      </w:pPr>
      <w:r>
        <w:rPr>
          <w:bCs/>
          <w:b/>
        </w:rPr>
        <w:t xml:space="preserve">Month 1:</w:t>
      </w:r>
      <w:r>
        <w:t xml:space="preserve"> </w:t>
      </w:r>
      <w:r>
        <w:t xml:space="preserve">Approved research proposal, detailed methodology document, and ethics clearance from the Cairo University Institutional Review Board.</w:t>
      </w:r>
    </w:p>
    <w:p>
      <w:pPr>
        <w:numPr>
          <w:ilvl w:val="0"/>
          <w:numId w:val="1001"/>
        </w:numPr>
        <w:pStyle w:val="Compact"/>
      </w:pPr>
      <w:r>
        <w:rPr>
          <w:bCs/>
          <w:b/>
        </w:rPr>
        <w:t xml:space="preserve">Month 3:</w:t>
      </w:r>
      <w:r>
        <w:t xml:space="preserve"> </w:t>
      </w:r>
      <w:r>
        <w:t xml:space="preserve">Interim progress report with preliminary fieldwork findings from at least six districts of Egypt Cairo.</w:t>
      </w:r>
    </w:p>
    <w:p>
      <w:pPr>
        <w:numPr>
          <w:ilvl w:val="0"/>
          <w:numId w:val="1001"/>
        </w:numPr>
        <w:pStyle w:val="Compact"/>
      </w:pPr>
      <w:r>
        <w:rPr>
          <w:bCs/>
          <w:b/>
        </w:rPr>
        <w:t xml:space="preserve">Month 5:</w:t>
      </w:r>
      <w:r>
        <w:t xml:space="preserve"> </w:t>
      </w:r>
      <w:r>
        <w:t xml:space="preserve">Complete dataset, coded interview transcripts, and statistical analysis summary.</w:t>
      </w:r>
    </w:p>
    <w:p>
      <w:pPr>
        <w:numPr>
          <w:ilvl w:val="0"/>
          <w:numId w:val="1001"/>
        </w:numPr>
        <w:pStyle w:val="Compact"/>
      </w:pPr>
      <w:r>
        <w:rPr>
          <w:bCs/>
          <w:b/>
        </w:rPr>
        <w:t xml:space="preserve">Month 6:</w:t>
      </w:r>
      <w:r>
        <w:t xml:space="preserve"> </w:t>
      </w:r>
      <w:r>
        <w:t xml:space="preserve">Final research report (minimum 120 pages), two peer-reviewed journal article manuscripts, and one policy brief formatted for submission to the Egyptian Ministry of Housing and Urban Development.</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engagement initiated after the expiry date will require a revised quotation reflecting current market rates in Egypt Cairo.</w:t>
      </w:r>
    </w:p>
    <w:p>
      <w:pPr>
        <w:numPr>
          <w:ilvl w:val="0"/>
          <w:numId w:val="1002"/>
        </w:numPr>
        <w:pStyle w:val="Compact"/>
      </w:pPr>
      <w:r>
        <w:t xml:space="preserve">Payment shall be made in three equal installments: 40% upon contract signing, 30% upon delivery of the interim report (Month 3), and 30% upon final acceptance of all deliverables.</w:t>
      </w:r>
    </w:p>
    <w:p>
      <w:pPr>
        <w:numPr>
          <w:ilvl w:val="0"/>
          <w:numId w:val="1002"/>
        </w:numPr>
        <w:pStyle w:val="Compact"/>
      </w:pPr>
      <w:r>
        <w:t xml:space="preserve">All intellectual property rights in the final research outputs shall vest with the client. The</w:t>
      </w:r>
      <w:r>
        <w:t xml:space="preserve"> </w:t>
      </w:r>
      <w:r>
        <w:t xml:space="preserve">Academic Researcher</w:t>
      </w:r>
      <w:r>
        <w:t xml:space="preserve"> </w:t>
      </w:r>
      <w:r>
        <w:t xml:space="preserve">retains the right to cite the work in future academic publications with prior written consent.</w:t>
      </w:r>
    </w:p>
    <w:p>
      <w:pPr>
        <w:numPr>
          <w:ilvl w:val="0"/>
          <w:numId w:val="1002"/>
        </w:numPr>
        <w:pStyle w:val="Compact"/>
      </w:pPr>
      <w:r>
        <w:t xml:space="preserve">The</w:t>
      </w:r>
      <w:r>
        <w:t xml:space="preserve"> </w:t>
      </w:r>
      <w:r>
        <w:t xml:space="preserve">Academic Researcher</w:t>
      </w:r>
      <w:r>
        <w:t xml:space="preserve"> </w:t>
      </w:r>
      <w:r>
        <w:t xml:space="preserve">shall comply with all applicable Egyptian laws, including the Personal Data Protection Law (Law No. 151 of 2020) and the regulations of the Egyptian National Research Authority.</w:t>
      </w:r>
    </w:p>
    <w:p>
      <w:pPr>
        <w:numPr>
          <w:ilvl w:val="0"/>
          <w:numId w:val="1002"/>
        </w:numPr>
        <w:pStyle w:val="Compact"/>
      </w:pPr>
      <w:r>
        <w:t xml:space="preserve">Any scope changes exceeding 10% of the originally agreed workload will be subject to a supplementary</w:t>
      </w:r>
      <w:r>
        <w:t xml:space="preserve"> </w:t>
      </w:r>
      <w:r>
        <w:t xml:space="preserve">Quotation Estimate</w:t>
      </w:r>
      <w:r>
        <w:t xml:space="preserve"> </w:t>
      </w:r>
      <w:r>
        <w:t xml:space="preserve">issued within five (5) business days.</w:t>
      </w:r>
    </w:p>
    <w:p>
      <w:pPr>
        <w:numPr>
          <w:ilvl w:val="0"/>
          <w:numId w:val="1002"/>
        </w:numPr>
        <w:pStyle w:val="Compact"/>
      </w:pPr>
      <w:r>
        <w:t xml:space="preserve">Force majeure events, including but not limited to civil unrest, government-mandated closures, or public health emergencies affecting Egypt Cairo, shall suspend the project timeline without penalty to either party.</w:t>
      </w:r>
    </w:p>
    <w:p>
      <w:pPr>
        <w:numPr>
          <w:ilvl w:val="0"/>
          <w:numId w:val="1002"/>
        </w:numPr>
        <w:pStyle w:val="Compact"/>
      </w:pPr>
      <w:r>
        <w:t xml:space="preserve">Disputes arising from this engagement shall be resolved through arbitration in accordance with the rules of the Egyptian Arbitration Centre, with the seat of arbitration in Cairo, Egypt.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 proposed</w:t>
      </w:r>
      <w:r>
        <w:t xml:space="preserve"> </w:t>
      </w:r>
      <w:r>
        <w:t xml:space="preserve">Academic Researcher</w:t>
      </w:r>
      <w:r>
        <w:t xml:space="preserve"> </w:t>
      </w:r>
      <w:r>
        <w:t xml:space="preserve">in Egypt Cairo.</w:t>
      </w:r>
    </w:p>
    <w:p>
      <w:pPr>
        <w:pStyle w:val="BodyText"/>
      </w:pPr>
      <w:r>
        <w:rPr>
          <w:bCs/>
          <w:b/>
        </w:rPr>
        <w:t xml:space="preserve">For Nile Delta Research &amp; Consultancy Group</w:t>
      </w:r>
    </w:p>
    <w:p>
      <w:pPr>
        <w:pStyle w:val="BodyText"/>
      </w:pPr>
      <w:r>
        <w:t xml:space="preserve">Name: Dr. Amira Hassan</w:t>
      </w:r>
    </w:p>
    <w:p>
      <w:pPr>
        <w:pStyle w:val="BodyText"/>
      </w:pPr>
      <w:r>
        <w:t xml:space="preserve">Title: Director of Research Operations</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 (Cairo University)</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Nile Delta Research &amp; Consultancy Group — 45 El Tahrir Square, Downtown, Egypt Cairo — CR: 184729 — Tax ID: 552-883-104</w:t>
      </w:r>
    </w:p>
    <w:p>
      <w:pPr>
        <w:pStyle w:val="BodyText"/>
      </w:pPr>
      <w:r>
        <w:t xml:space="preserve">This Quotation Estimate is a commercial document and does not constitute a binding contract until countersigned by both parties.</w:t>
      </w:r>
    </w:p>
    <w:p>
      <w:pPr>
        <w:pStyle w:val="BodyText"/>
      </w:pPr>
      <w:r>
        <w:t xml:space="preserve">Page 1 of 1 — Generated: 14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Egypt Cairo</dc:title>
  <dc:creator/>
  <dc:language>en</dc:language>
  <cp:keywords/>
  <dcterms:created xsi:type="dcterms:W3CDTF">2026-10-10T07:25:56Z</dcterms:created>
  <dcterms:modified xsi:type="dcterms:W3CDTF">2026-10-10T07:25:56Z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