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Academic</w:t>
      </w:r>
      <w:r>
        <w:t xml:space="preserve"> </w:t>
      </w:r>
      <w:r>
        <w:t xml:space="preserve">Researcher</w:t>
      </w:r>
      <w:r>
        <w:t xml:space="preserve"> </w:t>
      </w:r>
      <w:r>
        <w:t xml:space="preserve">-</w:t>
      </w:r>
      <w:r>
        <w:t xml:space="preserve"> </w:t>
      </w:r>
      <w:r>
        <w:t xml:space="preserve">France</w:t>
      </w:r>
      <w:r>
        <w:t xml:space="preserve"> </w:t>
      </w:r>
      <w:r>
        <w:t xml:space="preserve">Marseille</w:t>
      </w:r>
    </w:p>
    <w:bookmarkStart w:id="20" w:name="quotation-estimate"/>
    <w:p>
      <w:pPr>
        <w:pStyle w:val="Heading1"/>
      </w:pPr>
      <w:r>
        <w:t xml:space="preserve">QUOTATION ESTIMATE</w:t>
      </w:r>
    </w:p>
    <w:p>
      <w:pPr>
        <w:pStyle w:val="FirstParagraph"/>
      </w:pPr>
      <w:r>
        <w:t xml:space="preserve">Professional Services for Academic Researcher Engagement</w:t>
      </w:r>
    </w:p>
    <w:p>
      <w:pPr>
        <w:pStyle w:val="BodyText"/>
      </w:pPr>
      <w:r>
        <w:t xml:space="preserve">Prepared for use in France Marseille — Provence-Alpes-Côte d'Azur Region</w:t>
      </w:r>
    </w:p>
    <w:bookmarkEnd w:id="20"/>
    <w:p>
      <w:pPr>
        <w:pStyle w:val="BodyText"/>
      </w:pPr>
      <w:r>
        <w:rPr>
          <w:bCs/>
          <w:b/>
        </w:rPr>
        <w:t xml:space="preserve">Quotation Reference:</w:t>
      </w:r>
      <w:r>
        <w:t xml:space="preserve"> </w:t>
      </w:r>
      <w:r>
        <w:t xml:space="preserve">QTE-MRS-2025-0472</w:t>
      </w:r>
      <w:r>
        <w:br/>
      </w:r>
      <w:r>
        <w:rPr>
          <w:bCs/>
          <w:b/>
        </w:rPr>
        <w:t xml:space="preserve">Date of Issue:</w:t>
      </w:r>
      <w:r>
        <w:t xml:space="preserve"> </w:t>
      </w:r>
      <w:r>
        <w:t xml:space="preserve">15 June 2025</w:t>
      </w:r>
      <w:r>
        <w:br/>
      </w:r>
      <w:r>
        <w:rPr>
          <w:bCs/>
          <w:b/>
        </w:rPr>
        <w:t xml:space="preserve">Valid Until:</w:t>
      </w:r>
      <w:r>
        <w:t xml:space="preserve"> </w:t>
      </w:r>
      <w:r>
        <w:t xml:space="preserve">15 September 2025</w:t>
      </w:r>
    </w:p>
    <w:p>
      <w:pPr>
        <w:pStyle w:val="BodyText"/>
      </w:pPr>
      <w:r>
        <w:rPr>
          <w:bCs/>
          <w:b/>
        </w:rPr>
        <w:t xml:space="preserve">Prepared By:</w:t>
      </w:r>
      <w:r>
        <w:t xml:space="preserve"> </w:t>
      </w:r>
      <w:r>
        <w:t xml:space="preserve">Dr. Élodie Marchand, Procurement Director</w:t>
      </w:r>
      <w:r>
        <w:br/>
      </w:r>
      <w:r>
        <w:rPr>
          <w:bCs/>
          <w:b/>
        </w:rPr>
        <w:t xml:space="preserve">Organization:</w:t>
      </w:r>
      <w:r>
        <w:t xml:space="preserve"> </w:t>
      </w:r>
      <w:r>
        <w:t xml:space="preserve">Institut de Recherche Académique de Marseille (IRAM)</w:t>
      </w:r>
      <w:r>
        <w:br/>
      </w:r>
      <w:r>
        <w:rPr>
          <w:bCs/>
          <w:b/>
        </w:rPr>
        <w:t xml:space="preserve">Address:</w:t>
      </w:r>
      <w:r>
        <w:t xml:space="preserve"> </w:t>
      </w:r>
      <w:r>
        <w:t xml:space="preserve">12 Boulevard du Littoral, 13007 Marseille, France</w:t>
      </w:r>
    </w:p>
    <w:bookmarkStart w:id="21" w:name="purpose-of-this-quotation-estimate"/>
    <w:p>
      <w:pPr>
        <w:pStyle w:val="Heading2"/>
      </w:pPr>
      <w:r>
        <w:t xml:space="preserve">1. Purpose of This Quotation Estimate</w:t>
      </w:r>
    </w:p>
    <w:p>
      <w:pPr>
        <w:pStyle w:val="FirstParagraph"/>
      </w:pPr>
      <w:r>
        <w:t xml:space="preserve">This Quotation Estimate document has been prepared to provide a comprehensive and transparent financial breakdown for the engagement of a qualified</w:t>
      </w:r>
      <w:r>
        <w:t xml:space="preserve"> </w:t>
      </w:r>
      <w:r>
        <w:t xml:space="preserve">Academic Researcher</w:t>
      </w:r>
      <w:r>
        <w:t xml:space="preserve"> </w:t>
      </w:r>
      <w:r>
        <w:t xml:space="preserve">to conduct specialized research activities within the academic and institutional framework of</w:t>
      </w:r>
      <w:r>
        <w:t xml:space="preserve"> </w:t>
      </w:r>
      <w:r>
        <w:t xml:space="preserve">France Marseille</w:t>
      </w:r>
      <w:r>
        <w:t xml:space="preserve">. The Quotation Estimate covers all anticipated costs associated with the recruitment, onboarding, operational support, and ongoing compensation of the Academic Researcher over a defined contract period. All figures presented herein are expressed in Euros (EUR) and are subject to the applicable French tax regulations, including TVA (Valeur Ajoutée) at the standard rate of 20%.</w:t>
      </w:r>
    </w:p>
    <w:bookmarkEnd w:id="21"/>
    <w:bookmarkStart w:id="22" w:name="scope-of-work-academic-researcher-role"/>
    <w:p>
      <w:pPr>
        <w:pStyle w:val="Heading2"/>
      </w:pPr>
      <w:r>
        <w:t xml:space="preserve">2. Scope of Work — Academic Researcher Role</w:t>
      </w:r>
    </w:p>
    <w:p>
      <w:pPr>
        <w:pStyle w:val="FirstParagraph"/>
      </w:pPr>
      <w:r>
        <w:t xml:space="preserve">The Academic Researcher engaged under this Quotation Estimate will be responsible for the following duties and deliverables, all to be performed primarily at the research facilities located in the 7th and 8th arrondissements of Marseille, France:</w:t>
      </w:r>
    </w:p>
    <w:p>
      <w:pPr>
        <w:numPr>
          <w:ilvl w:val="0"/>
          <w:numId w:val="1001"/>
        </w:numPr>
        <w:pStyle w:val="Compact"/>
      </w:pPr>
      <w:r>
        <w:t xml:space="preserve">Conducting original empirical and theoretical research in the field of Mediterranean environmental sciences, with a focus on coastal ecosystem dynamics specific to the Marseille-Provence littoral zone.</w:t>
      </w:r>
    </w:p>
    <w:p>
      <w:pPr>
        <w:numPr>
          <w:ilvl w:val="0"/>
          <w:numId w:val="1001"/>
        </w:numPr>
        <w:pStyle w:val="Compact"/>
      </w:pPr>
      <w:r>
        <w:t xml:space="preserve">Authoring and co-authoring peer-reviewed publications in international journals, with a minimum target of three (3) publications per academic year.</w:t>
      </w:r>
    </w:p>
    <w:p>
      <w:pPr>
        <w:numPr>
          <w:ilvl w:val="0"/>
          <w:numId w:val="1001"/>
        </w:numPr>
        <w:pStyle w:val="Compact"/>
      </w:pPr>
      <w:r>
        <w:t xml:space="preserve">Supervising a cohort of up to four (4) doctoral candidates enrolled in the Aix-Marseille University (AMU) doctoral program.</w:t>
      </w:r>
    </w:p>
    <w:p>
      <w:pPr>
        <w:numPr>
          <w:ilvl w:val="0"/>
          <w:numId w:val="1001"/>
        </w:numPr>
        <w:pStyle w:val="Compact"/>
      </w:pPr>
      <w:r>
        <w:t xml:space="preserve">Participating in and presenting findings at national and international academic conferences, including those hosted in Marseille and across the broader France Marseille metropolitan area.</w:t>
      </w:r>
    </w:p>
    <w:p>
      <w:pPr>
        <w:numPr>
          <w:ilvl w:val="0"/>
          <w:numId w:val="1001"/>
        </w:numPr>
        <w:pStyle w:val="Compact"/>
      </w:pPr>
      <w:r>
        <w:t xml:space="preserve">Collaborating with the local research consortium, including the Centre National de la Recherche Scientifique (CNRS) Marseille laboratory and the Institut Méditerranéen de Biodiversité et d'Écologie (IMBE).</w:t>
      </w:r>
    </w:p>
    <w:p>
      <w:pPr>
        <w:numPr>
          <w:ilvl w:val="0"/>
          <w:numId w:val="1001"/>
        </w:numPr>
        <w:pStyle w:val="Compact"/>
      </w:pPr>
      <w:r>
        <w:t xml:space="preserve">Contributing to the development of grant proposals for European Union Horizon Europe funding and national ANR (Agence Nationale de la Recherche) calls.</w:t>
      </w:r>
    </w:p>
    <w:p>
      <w:pPr>
        <w:numPr>
          <w:ilvl w:val="0"/>
          <w:numId w:val="1001"/>
        </w:numPr>
        <w:pStyle w:val="Compact"/>
      </w:pPr>
      <w:r>
        <w:t xml:space="preserve">Maintaining and updating the institutional research database and ensuring compliance with French data protection regulations (RGPD/GDPR).</w:t>
      </w:r>
    </w:p>
    <w:bookmarkEnd w:id="22"/>
    <w:bookmarkStart w:id="23" w:name="itemized-cost-breakdown"/>
    <w:p>
      <w:pPr>
        <w:pStyle w:val="Heading2"/>
      </w:pPr>
      <w:r>
        <w:t xml:space="preserve">3. Itemized Cost Breakdown</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No.</w:t>
            </w:r>
          </w:p>
        </w:tc>
        <w:tc>
          <w:tcPr/>
          <w:p>
            <w:pPr>
              <w:pStyle w:val="Compact"/>
              <w:jc w:val="left"/>
            </w:pPr>
            <w:r>
              <w:t xml:space="preserve">Description</w:t>
            </w:r>
          </w:p>
        </w:tc>
        <w:tc>
          <w:tcPr/>
          <w:p>
            <w:pPr>
              <w:pStyle w:val="Compact"/>
              <w:jc w:val="left"/>
            </w:pPr>
            <w:r>
              <w:t xml:space="preserve">Duration</w:t>
            </w:r>
          </w:p>
        </w:tc>
        <w:tc>
          <w:tcPr/>
          <w:p>
            <w:pPr>
              <w:pStyle w:val="Compact"/>
              <w:jc w:val="left"/>
            </w:pPr>
            <w:r>
              <w:t xml:space="preserve">Unit Cost (EUR)</w:t>
            </w:r>
          </w:p>
        </w:tc>
        <w:tc>
          <w:tcPr/>
          <w:p>
            <w:pPr>
              <w:pStyle w:val="Compact"/>
              <w:jc w:val="left"/>
            </w:pPr>
            <w:r>
              <w:t xml:space="preserve">Quantity</w:t>
            </w:r>
          </w:p>
        </w:tc>
        <w:tc>
          <w:tcPr/>
          <w:p>
            <w:pPr>
              <w:pStyle w:val="Compact"/>
              <w:jc w:val="left"/>
            </w:pPr>
            <w:r>
              <w:t xml:space="preserve">Total (EUR)</w:t>
            </w:r>
          </w:p>
        </w:tc>
      </w:tr>
      <w:tr>
        <w:tc>
          <w:tcPr/>
          <w:p>
            <w:pPr>
              <w:pStyle w:val="Compact"/>
              <w:jc w:val="left"/>
            </w:pPr>
            <w:r>
              <w:t xml:space="preserve">01</w:t>
            </w:r>
          </w:p>
        </w:tc>
        <w:tc>
          <w:tcPr/>
          <w:p>
            <w:pPr>
              <w:pStyle w:val="Compact"/>
              <w:jc w:val="left"/>
            </w:pPr>
            <w:r>
              <w:t xml:space="preserve">Base annual salary — Academic Researcher (Grade A, equivalent to Maître de Conférences)</w:t>
            </w:r>
          </w:p>
        </w:tc>
        <w:tc>
          <w:tcPr/>
          <w:p>
            <w:pPr>
              <w:pStyle w:val="Compact"/>
              <w:jc w:val="left"/>
            </w:pPr>
            <w:r>
              <w:t xml:space="preserve">12 months</w:t>
            </w:r>
          </w:p>
        </w:tc>
        <w:tc>
          <w:tcPr/>
          <w:p>
            <w:pPr>
              <w:pStyle w:val="Compact"/>
              <w:jc w:val="left"/>
            </w:pPr>
            <w:r>
              <w:t xml:space="preserve">52,800.00</w:t>
            </w:r>
          </w:p>
        </w:tc>
        <w:tc>
          <w:tcPr/>
          <w:p>
            <w:pPr>
              <w:pStyle w:val="Compact"/>
              <w:jc w:val="left"/>
            </w:pPr>
            <w:r>
              <w:t xml:space="preserve">1</w:t>
            </w:r>
          </w:p>
        </w:tc>
        <w:tc>
          <w:tcPr/>
          <w:p>
            <w:pPr>
              <w:pStyle w:val="Compact"/>
              <w:jc w:val="left"/>
            </w:pPr>
            <w:r>
              <w:t xml:space="preserve">52,800.00</w:t>
            </w:r>
          </w:p>
        </w:tc>
      </w:tr>
      <w:tr>
        <w:tc>
          <w:tcPr/>
          <w:p>
            <w:pPr>
              <w:pStyle w:val="Compact"/>
              <w:jc w:val="left"/>
            </w:pPr>
            <w:r>
              <w:t xml:space="preserve">02</w:t>
            </w:r>
          </w:p>
        </w:tc>
        <w:tc>
          <w:tcPr/>
          <w:p>
            <w:pPr>
              <w:pStyle w:val="Compact"/>
              <w:jc w:val="left"/>
            </w:pPr>
            <w:r>
              <w:t xml:space="preserve">Research allowance — fieldwork, laboratory consumables, and data acquisition</w:t>
            </w:r>
          </w:p>
        </w:tc>
        <w:tc>
          <w:tcPr/>
          <w:p>
            <w:pPr>
              <w:pStyle w:val="Compact"/>
              <w:jc w:val="left"/>
            </w:pPr>
            <w:r>
              <w:t xml:space="preserve">12 months</w:t>
            </w:r>
          </w:p>
        </w:tc>
        <w:tc>
          <w:tcPr/>
          <w:p>
            <w:pPr>
              <w:pStyle w:val="Compact"/>
              <w:jc w:val="left"/>
            </w:pPr>
            <w:r>
              <w:t xml:space="preserve">8,400.00</w:t>
            </w:r>
          </w:p>
        </w:tc>
        <w:tc>
          <w:tcPr/>
          <w:p>
            <w:pPr>
              <w:pStyle w:val="Compact"/>
              <w:jc w:val="left"/>
            </w:pPr>
            <w:r>
              <w:t xml:space="preserve">1</w:t>
            </w:r>
          </w:p>
        </w:tc>
        <w:tc>
          <w:tcPr/>
          <w:p>
            <w:pPr>
              <w:pStyle w:val="Compact"/>
              <w:jc w:val="left"/>
            </w:pPr>
            <w:r>
              <w:t xml:space="preserve">8,400.00</w:t>
            </w:r>
          </w:p>
        </w:tc>
      </w:tr>
      <w:tr>
        <w:tc>
          <w:tcPr/>
          <w:p>
            <w:pPr>
              <w:pStyle w:val="Compact"/>
              <w:jc w:val="left"/>
            </w:pPr>
            <w:r>
              <w:t xml:space="preserve">03</w:t>
            </w:r>
          </w:p>
        </w:tc>
        <w:tc>
          <w:tcPr/>
          <w:p>
            <w:pPr>
              <w:pStyle w:val="Compact"/>
              <w:jc w:val="left"/>
            </w:pPr>
            <w:r>
              <w:t xml:space="preserve">Conference travel and accommodation (France Marseille to international venues)</w:t>
            </w:r>
          </w:p>
        </w:tc>
        <w:tc>
          <w:tcPr/>
          <w:p>
            <w:pPr>
              <w:pStyle w:val="Compact"/>
              <w:jc w:val="left"/>
            </w:pPr>
            <w:r>
              <w:t xml:space="preserve">Per annum</w:t>
            </w:r>
          </w:p>
        </w:tc>
        <w:tc>
          <w:tcPr/>
          <w:p>
            <w:pPr>
              <w:pStyle w:val="Compact"/>
              <w:jc w:val="left"/>
            </w:pPr>
            <w:r>
              <w:t xml:space="preserve">6,200.00</w:t>
            </w:r>
          </w:p>
        </w:tc>
        <w:tc>
          <w:tcPr/>
          <w:p>
            <w:pPr>
              <w:pStyle w:val="Compact"/>
              <w:jc w:val="left"/>
            </w:pPr>
            <w:r>
              <w:t xml:space="preserve">1</w:t>
            </w:r>
          </w:p>
        </w:tc>
        <w:tc>
          <w:tcPr/>
          <w:p>
            <w:pPr>
              <w:pStyle w:val="Compact"/>
              <w:jc w:val="left"/>
            </w:pPr>
            <w:r>
              <w:t xml:space="preserve">6,200.00</w:t>
            </w:r>
          </w:p>
        </w:tc>
      </w:tr>
      <w:tr>
        <w:tc>
          <w:tcPr/>
          <w:p>
            <w:pPr>
              <w:pStyle w:val="Compact"/>
              <w:jc w:val="left"/>
            </w:pPr>
            <w:r>
              <w:t xml:space="preserve">04</w:t>
            </w:r>
          </w:p>
        </w:tc>
        <w:tc>
          <w:tcPr/>
          <w:p>
            <w:pPr>
              <w:pStyle w:val="Compact"/>
              <w:jc w:val="left"/>
            </w:pPr>
            <w:r>
              <w:t xml:space="preserve">Office and laboratory space allocation (Boulevard du Littoral campus, Marseille)</w:t>
            </w:r>
          </w:p>
        </w:tc>
        <w:tc>
          <w:tcPr/>
          <w:p>
            <w:pPr>
              <w:pStyle w:val="Compact"/>
              <w:jc w:val="left"/>
            </w:pPr>
            <w:r>
              <w:t xml:space="preserve">12 months</w:t>
            </w:r>
          </w:p>
        </w:tc>
        <w:tc>
          <w:tcPr/>
          <w:p>
            <w:pPr>
              <w:pStyle w:val="Compact"/>
              <w:jc w:val="left"/>
            </w:pPr>
            <w:r>
              <w:t xml:space="preserve">4,800.00</w:t>
            </w:r>
          </w:p>
        </w:tc>
        <w:tc>
          <w:tcPr/>
          <w:p>
            <w:pPr>
              <w:pStyle w:val="Compact"/>
              <w:jc w:val="left"/>
            </w:pPr>
            <w:r>
              <w:t xml:space="preserve">1</w:t>
            </w:r>
          </w:p>
        </w:tc>
        <w:tc>
          <w:tcPr/>
          <w:p>
            <w:pPr>
              <w:pStyle w:val="Compact"/>
              <w:jc w:val="left"/>
            </w:pPr>
            <w:r>
              <w:t xml:space="preserve">4,800.00</w:t>
            </w:r>
          </w:p>
        </w:tc>
      </w:tr>
      <w:tr>
        <w:tc>
          <w:tcPr/>
          <w:p>
            <w:pPr>
              <w:pStyle w:val="Compact"/>
              <w:jc w:val="left"/>
            </w:pPr>
            <w:r>
              <w:t xml:space="preserve">05</w:t>
            </w:r>
          </w:p>
        </w:tc>
        <w:tc>
          <w:tcPr/>
          <w:p>
            <w:pPr>
              <w:pStyle w:val="Compact"/>
              <w:jc w:val="left"/>
            </w:pPr>
            <w:r>
              <w:t xml:space="preserve">Access to specialized databases, journals, and digital research tools</w:t>
            </w:r>
          </w:p>
        </w:tc>
        <w:tc>
          <w:tcPr/>
          <w:p>
            <w:pPr>
              <w:pStyle w:val="Compact"/>
              <w:jc w:val="left"/>
            </w:pPr>
            <w:r>
              <w:t xml:space="preserve">12 months</w:t>
            </w:r>
          </w:p>
        </w:tc>
        <w:tc>
          <w:tcPr/>
          <w:p>
            <w:pPr>
              <w:pStyle w:val="Compact"/>
              <w:jc w:val="left"/>
            </w:pPr>
            <w:r>
              <w:t xml:space="preserve">3,600.00</w:t>
            </w:r>
          </w:p>
        </w:tc>
        <w:tc>
          <w:tcPr/>
          <w:p>
            <w:pPr>
              <w:pStyle w:val="Compact"/>
              <w:jc w:val="left"/>
            </w:pPr>
            <w:r>
              <w:t xml:space="preserve">1</w:t>
            </w:r>
          </w:p>
        </w:tc>
        <w:tc>
          <w:tcPr/>
          <w:p>
            <w:pPr>
              <w:pStyle w:val="Compact"/>
              <w:jc w:val="left"/>
            </w:pPr>
            <w:r>
              <w:t xml:space="preserve">3,600.00</w:t>
            </w:r>
          </w:p>
        </w:tc>
      </w:tr>
      <w:tr>
        <w:tc>
          <w:tcPr/>
          <w:p>
            <w:pPr>
              <w:pStyle w:val="Compact"/>
              <w:jc w:val="left"/>
            </w:pPr>
            <w:r>
              <w:t xml:space="preserve">06</w:t>
            </w:r>
          </w:p>
        </w:tc>
        <w:tc>
          <w:tcPr/>
          <w:p>
            <w:pPr>
              <w:pStyle w:val="Compact"/>
              <w:jc w:val="left"/>
            </w:pPr>
            <w:r>
              <w:t xml:space="preserve">Doctoral supervision stipend (up to 4 PhD candidates)</w:t>
            </w:r>
          </w:p>
        </w:tc>
        <w:tc>
          <w:tcPr/>
          <w:p>
            <w:pPr>
              <w:pStyle w:val="Compact"/>
              <w:jc w:val="left"/>
            </w:pPr>
            <w:r>
              <w:t xml:space="preserve">12 months</w:t>
            </w:r>
          </w:p>
        </w:tc>
        <w:tc>
          <w:tcPr/>
          <w:p>
            <w:pPr>
              <w:pStyle w:val="Compact"/>
              <w:jc w:val="left"/>
            </w:pPr>
            <w:r>
              <w:t xml:space="preserve">7,200.00</w:t>
            </w:r>
          </w:p>
        </w:tc>
        <w:tc>
          <w:tcPr/>
          <w:p>
            <w:pPr>
              <w:pStyle w:val="Compact"/>
              <w:jc w:val="left"/>
            </w:pPr>
            <w:r>
              <w:t xml:space="preserve">1</w:t>
            </w:r>
          </w:p>
        </w:tc>
        <w:tc>
          <w:tcPr/>
          <w:p>
            <w:pPr>
              <w:pStyle w:val="Compact"/>
              <w:jc w:val="left"/>
            </w:pPr>
            <w:r>
              <w:t xml:space="preserve">7,200.00</w:t>
            </w:r>
          </w:p>
        </w:tc>
      </w:tr>
      <w:tr>
        <w:tc>
          <w:tcPr/>
          <w:p>
            <w:pPr>
              <w:pStyle w:val="Compact"/>
              <w:jc w:val="left"/>
            </w:pPr>
            <w:r>
              <w:t xml:space="preserve">07</w:t>
            </w:r>
          </w:p>
        </w:tc>
        <w:tc>
          <w:tcPr/>
          <w:p>
            <w:pPr>
              <w:pStyle w:val="Compact"/>
              <w:jc w:val="left"/>
            </w:pPr>
            <w:r>
              <w:t xml:space="preserve">Administrative and HR onboarding (French labor law compliance, URSSAF registration)</w:t>
            </w:r>
          </w:p>
        </w:tc>
        <w:tc>
          <w:tcPr/>
          <w:p>
            <w:pPr>
              <w:pStyle w:val="Compact"/>
              <w:jc w:val="left"/>
            </w:pPr>
            <w:r>
              <w:t xml:space="preserve">One-time</w:t>
            </w:r>
          </w:p>
        </w:tc>
        <w:tc>
          <w:tcPr/>
          <w:p>
            <w:pPr>
              <w:pStyle w:val="Compact"/>
              <w:jc w:val="left"/>
            </w:pPr>
            <w:r>
              <w:t xml:space="preserve">1,500.00</w:t>
            </w:r>
          </w:p>
        </w:tc>
        <w:tc>
          <w:tcPr/>
          <w:p>
            <w:pPr>
              <w:pStyle w:val="Compact"/>
              <w:jc w:val="left"/>
            </w:pPr>
            <w:r>
              <w:t xml:space="preserve">1</w:t>
            </w:r>
          </w:p>
        </w:tc>
        <w:tc>
          <w:tcPr/>
          <w:p>
            <w:pPr>
              <w:pStyle w:val="Compact"/>
              <w:jc w:val="left"/>
            </w:pPr>
            <w:r>
              <w:t xml:space="preserve">1,500.00</w:t>
            </w:r>
          </w:p>
        </w:tc>
      </w:tr>
      <w:tr>
        <w:tc>
          <w:tcPr/>
          <w:p>
            <w:pPr>
              <w:pStyle w:val="Compact"/>
              <w:jc w:val="left"/>
            </w:pPr>
            <w:r>
              <w:t xml:space="preserve">08</w:t>
            </w:r>
          </w:p>
        </w:tc>
        <w:tc>
          <w:tcPr/>
          <w:p>
            <w:pPr>
              <w:pStyle w:val="Compact"/>
              <w:jc w:val="left"/>
            </w:pPr>
            <w:r>
              <w:t xml:space="preserve">Professional liability insurance and institutional indemnity cover</w:t>
            </w:r>
          </w:p>
        </w:tc>
        <w:tc>
          <w:tcPr/>
          <w:p>
            <w:pPr>
              <w:pStyle w:val="Compact"/>
              <w:jc w:val="left"/>
            </w:pPr>
            <w:r>
              <w:t xml:space="preserve">12 months</w:t>
            </w:r>
          </w:p>
        </w:tc>
        <w:tc>
          <w:tcPr/>
          <w:p>
            <w:pPr>
              <w:pStyle w:val="Compact"/>
              <w:jc w:val="left"/>
            </w:pPr>
            <w:r>
              <w:t xml:space="preserve">2,100.00</w:t>
            </w:r>
          </w:p>
        </w:tc>
        <w:tc>
          <w:tcPr/>
          <w:p>
            <w:pPr>
              <w:pStyle w:val="Compact"/>
              <w:jc w:val="left"/>
            </w:pPr>
            <w:r>
              <w:t xml:space="preserve">1</w:t>
            </w:r>
          </w:p>
        </w:tc>
        <w:tc>
          <w:tcPr/>
          <w:p>
            <w:pPr>
              <w:pStyle w:val="Compact"/>
              <w:jc w:val="left"/>
            </w:pPr>
            <w:r>
              <w:t xml:space="preserve">2,100.00</w:t>
            </w:r>
          </w:p>
        </w:tc>
      </w:tr>
      <w:tr>
        <w:tc>
          <w:tcPr/>
          <w:p>
            <w:pPr>
              <w:pStyle w:val="Compact"/>
              <w:jc w:val="left"/>
            </w:pPr>
            <w:r>
              <w:t xml:space="preserve">09</w:t>
            </w:r>
          </w:p>
        </w:tc>
        <w:tc>
          <w:tcPr/>
          <w:p>
            <w:pPr>
              <w:pStyle w:val="Compact"/>
              <w:jc w:val="left"/>
            </w:pPr>
            <w:r>
              <w:t xml:space="preserve">Language and cultural integration support (French academic writing workshop)</w:t>
            </w:r>
          </w:p>
        </w:tc>
        <w:tc>
          <w:tcPr/>
          <w:p>
            <w:pPr>
              <w:pStyle w:val="Compact"/>
              <w:jc w:val="left"/>
            </w:pPr>
            <w:r>
              <w:t xml:space="preserve">3 months</w:t>
            </w:r>
          </w:p>
        </w:tc>
        <w:tc>
          <w:tcPr/>
          <w:p>
            <w:pPr>
              <w:pStyle w:val="Compact"/>
              <w:jc w:val="left"/>
            </w:pPr>
            <w:r>
              <w:t xml:space="preserve">1,800.00</w:t>
            </w:r>
          </w:p>
        </w:tc>
        <w:tc>
          <w:tcPr/>
          <w:p>
            <w:pPr>
              <w:pStyle w:val="Compact"/>
              <w:jc w:val="left"/>
            </w:pPr>
            <w:r>
              <w:t xml:space="preserve">1</w:t>
            </w:r>
          </w:p>
        </w:tc>
        <w:tc>
          <w:tcPr/>
          <w:p>
            <w:pPr>
              <w:pStyle w:val="Compact"/>
              <w:jc w:val="left"/>
            </w:pPr>
            <w:r>
              <w:t xml:space="preserve">1,800.00</w:t>
            </w:r>
          </w:p>
        </w:tc>
      </w:tr>
      <w:tr>
        <w:tc>
          <w:tcPr/>
          <w:p>
            <w:pPr>
              <w:pStyle w:val="Compact"/>
              <w:jc w:val="left"/>
            </w:pPr>
            <w:r>
              <w:t xml:space="preserve">10</w:t>
            </w:r>
          </w:p>
        </w:tc>
        <w:tc>
          <w:tcPr/>
          <w:p>
            <w:pPr>
              <w:pStyle w:val="Compact"/>
              <w:jc w:val="left"/>
            </w:pPr>
            <w:r>
              <w:t xml:space="preserve">Contingency reserve (5% of subtotal)</w:t>
            </w:r>
          </w:p>
        </w:tc>
        <w:tc>
          <w:tcPr/>
          <w:p>
            <w:pPr>
              <w:pStyle w:val="Compact"/>
              <w:jc w:val="left"/>
            </w:pPr>
            <w:r>
              <w:t xml:space="preserve">—</w:t>
            </w:r>
          </w:p>
        </w:tc>
        <w:tc>
          <w:tcPr/>
          <w:p>
            <w:pPr>
              <w:pStyle w:val="Compact"/>
              <w:jc w:val="left"/>
            </w:pPr>
            <w:r>
              <w:t xml:space="preserve">—</w:t>
            </w:r>
          </w:p>
        </w:tc>
        <w:tc>
          <w:tcPr/>
          <w:p>
            <w:pPr>
              <w:pStyle w:val="Compact"/>
              <w:jc w:val="left"/>
            </w:pPr>
            <w:r>
              <w:t xml:space="preserve">—</w:t>
            </w:r>
          </w:p>
        </w:tc>
        <w:tc>
          <w:tcPr/>
          <w:p>
            <w:pPr>
              <w:pStyle w:val="Compact"/>
              <w:jc w:val="left"/>
            </w:pPr>
            <w:r>
              <w:t xml:space="preserve">4,008.00</w:t>
            </w:r>
          </w:p>
        </w:tc>
      </w:tr>
      <w:tr>
        <w:tc>
          <w:tcPr>
            <w:gridSpan w:val="5"/>
          </w:tcPr>
          <w:p>
            <w:pPr>
              <w:pStyle w:val="Compact"/>
              <w:jc w:val="left"/>
            </w:pPr>
            <w:r>
              <w:t xml:space="preserve">Subtotal (before TVA)</w:t>
            </w:r>
          </w:p>
        </w:tc>
        <w:tc>
          <w:tcPr/>
          <w:p>
            <w:pPr>
              <w:pStyle w:val="Compact"/>
              <w:jc w:val="left"/>
            </w:pPr>
            <w:r>
              <w:t xml:space="preserve">92,408.00</w:t>
            </w:r>
          </w:p>
        </w:tc>
      </w:tr>
      <w:tr>
        <w:tc>
          <w:tcPr>
            <w:gridSpan w:val="5"/>
          </w:tcPr>
          <w:p>
            <w:pPr>
              <w:pStyle w:val="Compact"/>
              <w:jc w:val="left"/>
            </w:pPr>
            <w:r>
              <w:t xml:space="preserve">TVA (20%)</w:t>
            </w:r>
          </w:p>
        </w:tc>
        <w:tc>
          <w:tcPr/>
          <w:p>
            <w:pPr>
              <w:pStyle w:val="Compact"/>
              <w:jc w:val="left"/>
            </w:pPr>
            <w:r>
              <w:t xml:space="preserve">18,481.60</w:t>
            </w:r>
          </w:p>
        </w:tc>
      </w:tr>
      <w:tr>
        <w:tc>
          <w:tcPr>
            <w:gridSpan w:val="5"/>
          </w:tcPr>
          <w:p>
            <w:pPr>
              <w:pStyle w:val="Compact"/>
              <w:jc w:val="left"/>
            </w:pPr>
            <w:r>
              <w:rPr>
                <w:bCs/>
                <w:b/>
              </w:rPr>
              <w:t xml:space="preserve">GRAND TOTAL (EUR)</w:t>
            </w:r>
          </w:p>
        </w:tc>
        <w:tc>
          <w:tcPr/>
          <w:p>
            <w:pPr>
              <w:pStyle w:val="Compact"/>
              <w:jc w:val="left"/>
            </w:pPr>
            <w:r>
              <w:rPr>
                <w:bCs/>
                <w:b/>
              </w:rPr>
              <w:t xml:space="preserve">110,889.60</w:t>
            </w:r>
          </w:p>
        </w:tc>
      </w:tr>
    </w:tbl>
    <w:bookmarkEnd w:id="23"/>
    <w:bookmarkStart w:id="24" w:name="payment-schedule"/>
    <w:p>
      <w:pPr>
        <w:pStyle w:val="Heading2"/>
      </w:pPr>
      <w:r>
        <w:t xml:space="preserve">4. Payment Schedule</w:t>
      </w:r>
    </w:p>
    <w:p>
      <w:pPr>
        <w:pStyle w:val="FirstParagraph"/>
      </w:pPr>
      <w:r>
        <w:t xml:space="preserve">The total amount specified in this Quotation Estimate shall be disbursed according to the following schedule, aligned with the French public procurement payment cycle applicable in France Marseille:</w:t>
      </w:r>
    </w:p>
    <w:p>
      <w:pPr>
        <w:numPr>
          <w:ilvl w:val="0"/>
          <w:numId w:val="1002"/>
        </w:numPr>
        <w:pStyle w:val="Compact"/>
      </w:pPr>
      <w:r>
        <w:rPr>
          <w:bCs/>
          <w:b/>
        </w:rPr>
        <w:t xml:space="preserve">Tranche 1 (30%):</w:t>
      </w:r>
      <w:r>
        <w:t xml:space="preserve"> </w:t>
      </w:r>
      <w:r>
        <w:t xml:space="preserve">Due upon formal contract signature and completion of onboarding — 33,266.88 EUR</w:t>
      </w:r>
    </w:p>
    <w:p>
      <w:pPr>
        <w:numPr>
          <w:ilvl w:val="0"/>
          <w:numId w:val="1002"/>
        </w:numPr>
        <w:pStyle w:val="Compact"/>
      </w:pPr>
      <w:r>
        <w:rPr>
          <w:bCs/>
          <w:b/>
        </w:rPr>
        <w:t xml:space="preserve">Tranche 2 (40%):</w:t>
      </w:r>
      <w:r>
        <w:t xml:space="preserve"> </w:t>
      </w:r>
      <w:r>
        <w:t xml:space="preserve">Due at the midpoint of the contract period (month 6) — 44,355.84 EUR</w:t>
      </w:r>
    </w:p>
    <w:p>
      <w:pPr>
        <w:numPr>
          <w:ilvl w:val="0"/>
          <w:numId w:val="1002"/>
        </w:numPr>
        <w:pStyle w:val="Compact"/>
      </w:pPr>
      <w:r>
        <w:rPr>
          <w:bCs/>
          <w:b/>
        </w:rPr>
        <w:t xml:space="preserve">Tranche 3 (30%):</w:t>
      </w:r>
      <w:r>
        <w:t xml:space="preserve"> </w:t>
      </w:r>
      <w:r>
        <w:t xml:space="preserve">Due upon successful completion of the contract period and submission of the final research report — 33,266.88 EUR</w:t>
      </w:r>
    </w:p>
    <w:p>
      <w:pPr>
        <w:pStyle w:val="FirstParagraph"/>
      </w:pPr>
      <w:r>
        <w:t xml:space="preserve">All payments shall be made via SEPA bank transfer to the designated institutional account. Late payments shall incur interest at the rate prescribed by Article L.441-10 of the French Commercial Code.</w:t>
      </w:r>
    </w:p>
    <w:bookmarkEnd w:id="24"/>
    <w:bookmarkStart w:id="25" w:name="terms-and-conditions"/>
    <w:p>
      <w:pPr>
        <w:pStyle w:val="Heading2"/>
      </w:pPr>
      <w:r>
        <w:t xml:space="preserve">5. Terms and Conditions</w:t>
      </w:r>
    </w:p>
    <w:p>
      <w:pPr>
        <w:numPr>
          <w:ilvl w:val="0"/>
          <w:numId w:val="1003"/>
        </w:numPr>
        <w:pStyle w:val="Compact"/>
      </w:pPr>
      <w:r>
        <w:t xml:space="preserve">This Quotation Estimate is valid for a period of ninety (90) days from the date of issue. Beyond this period, all costs are subject to revision based on prevailing market conditions in France Marseille.</w:t>
      </w:r>
    </w:p>
    <w:p>
      <w:pPr>
        <w:numPr>
          <w:ilvl w:val="0"/>
          <w:numId w:val="1003"/>
        </w:numPr>
        <w:pStyle w:val="Compact"/>
      </w:pPr>
      <w:r>
        <w:t xml:space="preserve">The engagement of the Academic Researcher is governed by the French Labor Code (Code du Travail) and the specific regulations of the Aix-Marseille University and the CNRS institutional framework.</w:t>
      </w:r>
    </w:p>
    <w:p>
      <w:pPr>
        <w:numPr>
          <w:ilvl w:val="0"/>
          <w:numId w:val="1003"/>
        </w:numPr>
        <w:pStyle w:val="Compact"/>
      </w:pPr>
      <w:r>
        <w:t xml:space="preserve">All intellectual property generated by the Academic Researcher during the contract period shall be jointly owned by the researcher and the hosting institution, in accordance with French intellectual property law (Code de la Propriété Intellectuelle).</w:t>
      </w:r>
    </w:p>
    <w:p>
      <w:pPr>
        <w:numPr>
          <w:ilvl w:val="0"/>
          <w:numId w:val="1003"/>
        </w:numPr>
        <w:pStyle w:val="Compact"/>
      </w:pPr>
      <w:r>
        <w:t xml:space="preserve">The Academic Researcher must comply with all ethical guidelines set forth by the French National Agency for Research (ANR) and the relevant institutional review boards in Marseille.</w:t>
      </w:r>
    </w:p>
    <w:p>
      <w:pPr>
        <w:numPr>
          <w:ilvl w:val="0"/>
          <w:numId w:val="1003"/>
        </w:numPr>
        <w:pStyle w:val="Compact"/>
      </w:pPr>
      <w:r>
        <w:t xml:space="preserve">Either party may terminate the contract with a notice period of three (3) months, in compliance with French employment law. Early termination by the institution shall trigger a pro-rata settlement of all committed costs.</w:t>
      </w:r>
    </w:p>
    <w:p>
      <w:pPr>
        <w:numPr>
          <w:ilvl w:val="0"/>
          <w:numId w:val="1003"/>
        </w:numPr>
        <w:pStyle w:val="Compact"/>
      </w:pPr>
      <w:r>
        <w:t xml:space="preserve">This Quotation Estimate does not constitute a binding contract until countersigned by both parties. The final contract shall be drafted in French, with an English translation provided for the Academic Researcher's reference.</w:t>
      </w:r>
    </w:p>
    <w:p>
      <w:pPr>
        <w:numPr>
          <w:ilvl w:val="0"/>
          <w:numId w:val="1003"/>
        </w:numPr>
        <w:pStyle w:val="Compact"/>
      </w:pPr>
      <w:r>
        <w:t xml:space="preserve">All personal data processed in connection with this engagement shall comply with the General Data Protection Regulation (GDPR) as implemented in France.</w:t>
      </w:r>
    </w:p>
    <w:p>
      <w:pPr>
        <w:numPr>
          <w:ilvl w:val="0"/>
          <w:numId w:val="1003"/>
        </w:numPr>
        <w:pStyle w:val="Compact"/>
      </w:pPr>
      <w:r>
        <w:t xml:space="preserve">Disputes arising from this Quotation Estimate or the subsequent contract shall be resolved by the competent courts of Marseille, France, or by arbitration under the rules of the CCI Marseille-Provence.</w:t>
      </w:r>
    </w:p>
    <w:bookmarkEnd w:id="25"/>
    <w:bookmarkStart w:id="26" w:name="acceptance-and-authorization"/>
    <w:p>
      <w:pPr>
        <w:pStyle w:val="Heading2"/>
      </w:pPr>
      <w:r>
        <w:t xml:space="preserve">6. Acceptance and Authorization</w:t>
      </w:r>
    </w:p>
    <w:p>
      <w:pPr>
        <w:pStyle w:val="FirstParagraph"/>
      </w:pPr>
      <w:r>
        <w:t xml:space="preserve">By signing below, both parties acknowledge that they have read, understood, and agree to the terms set forth in this Quotation Estimate for the engagement of the Academic Researcher in France Marseille. This document shall serve as the financial basis for the subsequent formal employment or service contract.</w:t>
      </w:r>
    </w:p>
    <w:bookmarkEnd w:id="26"/>
    <w:p>
      <w:pPr>
        <w:pStyle w:val="BodyText"/>
      </w:pPr>
      <w:r>
        <w:rPr>
          <w:bCs/>
          <w:b/>
        </w:rPr>
        <w:t xml:space="preserve">For the Institution (IRAM, Marseille):</w:t>
      </w:r>
    </w:p>
    <w:p>
      <w:pPr>
        <w:pStyle w:val="BodyText"/>
      </w:pPr>
      <w:r>
        <w:t xml:space="preserve">Name: Dr. Élodie Marchand</w:t>
      </w:r>
    </w:p>
    <w:p>
      <w:pPr>
        <w:pStyle w:val="BodyText"/>
      </w:pPr>
      <w:r>
        <w:t xml:space="preserve">Title: Procurement Director</w:t>
      </w:r>
    </w:p>
    <w:p>
      <w:pPr>
        <w:pStyle w:val="BodyText"/>
      </w:pPr>
      <w:r>
        <w:t xml:space="preserve">Signature &amp; Date</w:t>
      </w:r>
    </w:p>
    <w:p>
      <w:pPr>
        <w:pStyle w:val="BodyText"/>
      </w:pPr>
      <w:r>
        <w:rPr>
          <w:bCs/>
          <w:b/>
        </w:rPr>
        <w:t xml:space="preserve">For the Academic Researcher:</w:t>
      </w:r>
    </w:p>
    <w:p>
      <w:pPr>
        <w:pStyle w:val="BodyText"/>
      </w:pPr>
      <w:r>
        <w:t xml:space="preserve">Name: ___________________________</w:t>
      </w:r>
    </w:p>
    <w:p>
      <w:pPr>
        <w:pStyle w:val="BodyText"/>
      </w:pPr>
      <w:r>
        <w:t xml:space="preserve">Title: Academic Researcher</w:t>
      </w:r>
    </w:p>
    <w:p>
      <w:pPr>
        <w:pStyle w:val="BodyText"/>
      </w:pPr>
      <w:r>
        <w:t xml:space="preserve">Signature &amp; Date</w:t>
      </w:r>
    </w:p>
    <w:p>
      <w:pPr>
        <w:pStyle w:val="BodyText"/>
      </w:pPr>
      <w:r>
        <w:t xml:space="preserve">Quotation Estimate QTE-MRS-2025-0472 | Institut de Recherche Académique de Marseille (IRAM) | 12 Boulevard du Littoral, 13007 Marseille, France</w:t>
      </w:r>
    </w:p>
    <w:p>
      <w:pPr>
        <w:pStyle w:val="BodyText"/>
      </w:pPr>
      <w:r>
        <w:t xml:space="preserve">This document is confidential and intended solely for the named recipient. Unauthorized reproduction or distribution is prohibited under French law.</w:t>
      </w:r>
    </w:p>
    <w:p>
      <w:pPr>
        <w:pStyle w:val="BodyText"/>
      </w:pPr>
      <w:r>
        <w:t xml:space="preserve">© 2025 IRAM —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Academic Researcher - France Marseille</dc:title>
  <dc:creator/>
  <dc:language>en</dc:language>
  <cp:keywords/>
  <dcterms:created xsi:type="dcterms:W3CDTF">2026-10-10T10:21:25Z</dcterms:created>
  <dcterms:modified xsi:type="dcterms:W3CDTF">2026-10-10T10:21:25Z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content-width=device-width, initial-scale=1.0</vt:lpwstr>
  </property>
</Properties>
</file>