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Quotation</w:t>
      </w:r>
      <w:r>
        <w:t xml:space="preserve"> </w:t>
      </w:r>
      <w:r>
        <w:t xml:space="preserve">Estimate</w:t>
      </w:r>
      <w:r>
        <w:t xml:space="preserve"> </w:t>
      </w:r>
      <w:r>
        <w:t xml:space="preserve">-</w:t>
      </w:r>
      <w:r>
        <w:t xml:space="preserve"> </w:t>
      </w:r>
      <w:r>
        <w:t xml:space="preserve">Academic</w:t>
      </w:r>
      <w:r>
        <w:t xml:space="preserve"> </w:t>
      </w:r>
      <w:r>
        <w:t xml:space="preserve">Researcher</w:t>
      </w:r>
      <w:r>
        <w:t xml:space="preserve"> </w:t>
      </w:r>
      <w:r>
        <w:t xml:space="preserve">Services</w:t>
      </w:r>
      <w:r>
        <w:t xml:space="preserve"> </w:t>
      </w:r>
      <w:r>
        <w:t xml:space="preserve">-</w:t>
      </w:r>
      <w:r>
        <w:t xml:space="preserve"> </w:t>
      </w:r>
      <w:r>
        <w:t xml:space="preserve">France</w:t>
      </w:r>
      <w:r>
        <w:t xml:space="preserve"> </w:t>
      </w:r>
      <w:r>
        <w:t xml:space="preserve">Paris</w:t>
      </w:r>
    </w:p>
    <w:bookmarkStart w:id="21" w:name="quotation-estimate"/>
    <w:p>
      <w:pPr>
        <w:pStyle w:val="Heading1"/>
      </w:pPr>
      <w:r>
        <w:t xml:space="preserve">QUOTATION ESTIMATE</w:t>
      </w:r>
    </w:p>
    <w:bookmarkStart w:id="20" w:name="X4853abd9369a8d7e50ca53678daf9ed56899b58"/>
    <w:p>
      <w:pPr>
        <w:pStyle w:val="Heading2"/>
      </w:pPr>
      <w:r>
        <w:t xml:space="preserve">Academic Researcher Professional Services</w:t>
      </w:r>
    </w:p>
    <w:p>
      <w:pPr>
        <w:pStyle w:val="FirstParagraph"/>
      </w:pPr>
      <w:r>
        <w:t xml:space="preserve">Paris, France — Île-de-France Region</w:t>
      </w:r>
    </w:p>
    <w:bookmarkEnd w:id="20"/>
    <w:bookmarkEnd w:id="21"/>
    <w:tbl>
      <w:tblPr>
        <w:tblStyle w:val="Table"/>
        <w:tblW w:type="auto" w:w="0"/>
        <w:tblLook w:firstRow="0" w:lastRow="0" w:firstColumn="0" w:lastColumn="0" w:noHBand="0" w:noVBand="0" w:val="0000"/>
      </w:tblPr>
      <w:tblGrid>
        <w:gridCol w:w="3960"/>
        <w:gridCol w:w="3960"/>
      </w:tblGrid>
      <w:tr>
        <w:tc>
          <w:tcPr/>
          <w:p>
            <w:pPr>
              <w:pStyle w:val="Compact"/>
              <w:jc w:val="left"/>
            </w:pPr>
            <w:r>
              <w:t xml:space="preserve">Quotation Estimate No.</w:t>
            </w:r>
          </w:p>
        </w:tc>
        <w:tc>
          <w:tcPr/>
          <w:p>
            <w:pPr>
              <w:pStyle w:val="Compact"/>
              <w:jc w:val="left"/>
            </w:pPr>
            <w:r>
              <w:t xml:space="preserve">QTE-2025-04871-PR</w:t>
            </w:r>
          </w:p>
        </w:tc>
      </w:tr>
      <w:tr>
        <w:tc>
          <w:tcPr/>
          <w:p>
            <w:pPr>
              <w:pStyle w:val="Compact"/>
              <w:jc w:val="left"/>
            </w:pPr>
            <w:r>
              <w:t xml:space="preserve">Date of Issue</w:t>
            </w:r>
          </w:p>
        </w:tc>
        <w:tc>
          <w:tcPr/>
          <w:p>
            <w:pPr>
              <w:pStyle w:val="Compact"/>
              <w:jc w:val="left"/>
            </w:pPr>
            <w:r>
              <w:t xml:space="preserve">14 June 2025</w:t>
            </w:r>
          </w:p>
        </w:tc>
      </w:tr>
      <w:tr>
        <w:tc>
          <w:tcPr/>
          <w:p>
            <w:pPr>
              <w:pStyle w:val="Compact"/>
              <w:jc w:val="left"/>
            </w:pPr>
            <w:r>
              <w:t xml:space="preserve">Valid Until</w:t>
            </w:r>
          </w:p>
        </w:tc>
        <w:tc>
          <w:tcPr/>
          <w:p>
            <w:pPr>
              <w:pStyle w:val="Compact"/>
              <w:jc w:val="left"/>
            </w:pPr>
            <w:r>
              <w:t xml:space="preserve">14 September 2025 (90 days)</w:t>
            </w:r>
          </w:p>
        </w:tc>
      </w:tr>
      <w:tr>
        <w:tc>
          <w:tcPr/>
          <w:p>
            <w:pPr>
              <w:pStyle w:val="Compact"/>
              <w:jc w:val="left"/>
            </w:pPr>
            <w:r>
              <w:t xml:space="preserve">Prepared By</w:t>
            </w:r>
          </w:p>
        </w:tc>
        <w:tc>
          <w:tcPr/>
          <w:p>
            <w:pPr>
              <w:pStyle w:val="Compact"/>
              <w:jc w:val="left"/>
            </w:pPr>
            <w:r>
              <w:t xml:space="preserve">Dr. Élodie Marchand, Director of Research Services, Institut de Recherche Académique de Paris (IRAP)</w:t>
            </w:r>
          </w:p>
        </w:tc>
      </w:tr>
      <w:tr>
        <w:tc>
          <w:tcPr/>
          <w:p>
            <w:pPr>
              <w:pStyle w:val="Compact"/>
              <w:jc w:val="left"/>
            </w:pPr>
            <w:r>
              <w:t xml:space="preserve">Client / Requesting Party</w:t>
            </w:r>
          </w:p>
        </w:tc>
        <w:tc>
          <w:tcPr/>
          <w:p>
            <w:pPr>
              <w:pStyle w:val="Compact"/>
              <w:jc w:val="left"/>
            </w:pPr>
            <w:r>
              <w:t xml:space="preserve">Université Paris Cité — Department of Comparative Literature, 105 Boulevard de l'Hôpital, 75013 Paris, France</w:t>
            </w:r>
          </w:p>
        </w:tc>
      </w:tr>
      <w:tr>
        <w:tc>
          <w:tcPr/>
          <w:p>
            <w:pPr>
              <w:pStyle w:val="Compact"/>
              <w:jc w:val="left"/>
            </w:pPr>
            <w:r>
              <w:t xml:space="preserve">Project Reference</w:t>
            </w:r>
          </w:p>
        </w:tc>
        <w:tc>
          <w:tcPr/>
          <w:p>
            <w:pPr>
              <w:pStyle w:val="Compact"/>
              <w:jc w:val="left"/>
            </w:pPr>
            <w:r>
              <w:t xml:space="preserve">PRJ-2025-ACR-0092 — Multi-Disciplinary Research Collaboration, 2025–2026</w:t>
            </w:r>
          </w:p>
        </w:tc>
      </w:tr>
      <w:tr>
        <w:tc>
          <w:tcPr/>
          <w:p>
            <w:pPr>
              <w:pStyle w:val="Compact"/>
              <w:jc w:val="left"/>
            </w:pPr>
            <w:r>
              <w:t xml:space="preserve">Currency</w:t>
            </w:r>
          </w:p>
        </w:tc>
        <w:tc>
          <w:tcPr/>
          <w:p>
            <w:pPr>
              <w:pStyle w:val="Compact"/>
              <w:jc w:val="left"/>
            </w:pPr>
            <w:r>
              <w:t xml:space="preserve">Euro (EUR) — French National Currency</w:t>
            </w:r>
          </w:p>
        </w:tc>
      </w:tr>
    </w:tbl>
    <w:bookmarkStart w:id="22" w:name="Xbb6f56a2991cbb169ae8a31b7a96e8a15a3c0a0"/>
    <w:p>
      <w:pPr>
        <w:pStyle w:val="Heading3"/>
      </w:pPr>
      <w:r>
        <w:t xml:space="preserve">1. Scope of Services — Academic Researcher Engagement</w:t>
      </w:r>
    </w:p>
    <w:p>
      <w:pPr>
        <w:pStyle w:val="FirstParagraph"/>
      </w:pPr>
      <w:r>
        <w:t xml:space="preserve">This Quotation Estimate is issued in response to the formal request submitted by the Department of Comparative Literature at Université Paris Cité for the engagement of a qualified Academic Researcher to conduct a multi-disciplinary study on post-colonial literary narratives in the Paris metropolitan area. The Academic Researcher will be based in France Paris, specifically operating from the IRAP research facility located in the 5th arrondissement, with regular access to the Bibliothèque nationale de France (BnF) and the Sorbonne University archives.</w:t>
      </w:r>
    </w:p>
    <w:p>
      <w:pPr>
        <w:pStyle w:val="BodyText"/>
      </w:pPr>
      <w:r>
        <w:t xml:space="preserve">The scope of work encompasses the following deliverables over a twelve-month engagement period commencing 1 September 2025:</w:t>
      </w:r>
    </w:p>
    <w:p>
      <w:pPr>
        <w:numPr>
          <w:ilvl w:val="0"/>
          <w:numId w:val="1001"/>
        </w:numPr>
        <w:pStyle w:val="Compact"/>
      </w:pPr>
      <w:r>
        <w:t xml:space="preserve">Conducting primary and secondary research across French, English, and West African literary corpora housed in Paris-based institutions.</w:t>
      </w:r>
    </w:p>
    <w:p>
      <w:pPr>
        <w:numPr>
          <w:ilvl w:val="0"/>
          <w:numId w:val="1001"/>
        </w:numPr>
        <w:pStyle w:val="Compact"/>
      </w:pPr>
      <w:r>
        <w:t xml:space="preserve">Producing a minimum of three peer-reviewed journal articles for submission to internationally recognized academic publications.</w:t>
      </w:r>
    </w:p>
    <w:p>
      <w:pPr>
        <w:numPr>
          <w:ilvl w:val="0"/>
          <w:numId w:val="1001"/>
        </w:numPr>
        <w:pStyle w:val="Compact"/>
      </w:pPr>
      <w:r>
        <w:t xml:space="preserve">Delivering two public research seminars at the Université Paris Cité and one at the Collège de France.</w:t>
      </w:r>
    </w:p>
    <w:p>
      <w:pPr>
        <w:numPr>
          <w:ilvl w:val="0"/>
          <w:numId w:val="1001"/>
        </w:numPr>
        <w:pStyle w:val="Compact"/>
      </w:pPr>
      <w:r>
        <w:t xml:space="preserve">Compiling a comprehensive annotated bibliography of no fewer than 400 sources relevant to the project theme.</w:t>
      </w:r>
    </w:p>
    <w:p>
      <w:pPr>
        <w:numPr>
          <w:ilvl w:val="0"/>
          <w:numId w:val="1001"/>
        </w:numPr>
        <w:pStyle w:val="Compact"/>
      </w:pPr>
      <w:r>
        <w:t xml:space="preserve">Providing monthly progress reports to the project steering committee in both French and English.</w:t>
      </w:r>
    </w:p>
    <w:p>
      <w:pPr>
        <w:numPr>
          <w:ilvl w:val="0"/>
          <w:numId w:val="1001"/>
        </w:numPr>
        <w:pStyle w:val="Compact"/>
      </w:pPr>
      <w:r>
        <w:t xml:space="preserve">Supervising two doctoral candidates affiliated with the Paris-based research laboratory.</w:t>
      </w:r>
    </w:p>
    <w:bookmarkEnd w:id="22"/>
    <w:bookmarkStart w:id="23" w:name="itemized-cost-breakdown"/>
    <w:p>
      <w:pPr>
        <w:pStyle w:val="Heading3"/>
      </w:pPr>
      <w:r>
        <w:t xml:space="preserve">2. Itemized Cost Breakdown</w:t>
      </w:r>
    </w:p>
    <w:tbl>
      <w:tblPr>
        <w:tblStyle w:val="Table"/>
        <w:tblW w:type="auto" w:w="0"/>
        <w:tblLook w:firstRow="1" w:lastRow="0" w:firstColumn="0" w:lastColumn="0" w:noHBand="0" w:noVBand="0" w:val="0020"/>
      </w:tblPr>
      <w:tblGrid>
        <w:gridCol w:w="1584"/>
        <w:gridCol w:w="1584"/>
        <w:gridCol w:w="1584"/>
        <w:gridCol w:w="1584"/>
        <w:gridCol w:w="1584"/>
      </w:tblGrid>
      <w:tr>
        <w:trPr>
          <w:tblHeader w:val="true"/>
        </w:trPr>
        <w:tc>
          <w:tcPr/>
          <w:p>
            <w:pPr>
              <w:pStyle w:val="Compact"/>
              <w:jc w:val="left"/>
            </w:pPr>
            <w:r>
              <w:t xml:space="preserve">Item No.</w:t>
            </w:r>
          </w:p>
        </w:tc>
        <w:tc>
          <w:tcPr/>
          <w:p>
            <w:pPr>
              <w:pStyle w:val="Compact"/>
              <w:jc w:val="left"/>
            </w:pPr>
            <w:r>
              <w:t xml:space="preserve">Description of Service</w:t>
            </w:r>
          </w:p>
        </w:tc>
        <w:tc>
          <w:tcPr/>
          <w:p>
            <w:pPr>
              <w:pStyle w:val="Compact"/>
              <w:jc w:val="left"/>
            </w:pPr>
            <w:r>
              <w:t xml:space="preserve">Duration / Qty</w:t>
            </w:r>
          </w:p>
        </w:tc>
        <w:tc>
          <w:tcPr/>
          <w:p>
            <w:pPr>
              <w:pStyle w:val="Compact"/>
              <w:jc w:val="left"/>
            </w:pPr>
            <w:r>
              <w:t xml:space="preserve">Unit Rate (EUR)</w:t>
            </w:r>
          </w:p>
        </w:tc>
        <w:tc>
          <w:tcPr/>
          <w:p>
            <w:pPr>
              <w:pStyle w:val="Compact"/>
              <w:jc w:val="left"/>
            </w:pPr>
            <w:r>
              <w:t xml:space="preserve">Subtotal (EUR)</w:t>
            </w:r>
          </w:p>
        </w:tc>
      </w:tr>
      <w:tr>
        <w:tc>
          <w:tcPr/>
          <w:p>
            <w:pPr>
              <w:pStyle w:val="Compact"/>
              <w:jc w:val="left"/>
            </w:pPr>
            <w:r>
              <w:t xml:space="preserve">01</w:t>
            </w:r>
          </w:p>
        </w:tc>
        <w:tc>
          <w:tcPr/>
          <w:p>
            <w:pPr>
              <w:pStyle w:val="Compact"/>
              <w:jc w:val="left"/>
            </w:pPr>
            <w:r>
              <w:t xml:space="preserve">Academic Researcher — Senior Research Fellow (full-time engagement, Paris-based)</w:t>
            </w:r>
          </w:p>
        </w:tc>
        <w:tc>
          <w:tcPr/>
          <w:p>
            <w:pPr>
              <w:pStyle w:val="Compact"/>
              <w:jc w:val="left"/>
            </w:pPr>
            <w:r>
              <w:t xml:space="preserve">12 months</w:t>
            </w:r>
          </w:p>
        </w:tc>
        <w:tc>
          <w:tcPr/>
          <w:p>
            <w:pPr>
              <w:pStyle w:val="Compact"/>
              <w:jc w:val="left"/>
            </w:pPr>
            <w:r>
              <w:t xml:space="preserve">7,200.00</w:t>
            </w:r>
          </w:p>
        </w:tc>
        <w:tc>
          <w:tcPr/>
          <w:p>
            <w:pPr>
              <w:pStyle w:val="Compact"/>
              <w:jc w:val="left"/>
            </w:pPr>
            <w:r>
              <w:t xml:space="preserve">86,400.00</w:t>
            </w:r>
          </w:p>
        </w:tc>
      </w:tr>
      <w:tr>
        <w:tc>
          <w:tcPr/>
          <w:p>
            <w:pPr>
              <w:pStyle w:val="Compact"/>
              <w:jc w:val="left"/>
            </w:pPr>
            <w:r>
              <w:t xml:space="preserve">02</w:t>
            </w:r>
          </w:p>
        </w:tc>
        <w:tc>
          <w:tcPr/>
          <w:p>
            <w:pPr>
              <w:pStyle w:val="Compact"/>
              <w:jc w:val="left"/>
            </w:pPr>
            <w:r>
              <w:t xml:space="preserve">Research Assistant support (part-time, 20 hrs/week, France Paris office)</w:t>
            </w:r>
          </w:p>
        </w:tc>
        <w:tc>
          <w:tcPr/>
          <w:p>
            <w:pPr>
              <w:pStyle w:val="Compact"/>
              <w:jc w:val="left"/>
            </w:pPr>
            <w:r>
              <w:t xml:space="preserve">12 months</w:t>
            </w:r>
          </w:p>
        </w:tc>
        <w:tc>
          <w:tcPr/>
          <w:p>
            <w:pPr>
              <w:pStyle w:val="Compact"/>
              <w:jc w:val="left"/>
            </w:pPr>
            <w:r>
              <w:t xml:space="preserve">2,800.00</w:t>
            </w:r>
          </w:p>
        </w:tc>
        <w:tc>
          <w:tcPr/>
          <w:p>
            <w:pPr>
              <w:pStyle w:val="Compact"/>
              <w:jc w:val="left"/>
            </w:pPr>
            <w:r>
              <w:t xml:space="preserve">33,600.00</w:t>
            </w:r>
          </w:p>
        </w:tc>
      </w:tr>
      <w:tr>
        <w:tc>
          <w:tcPr/>
          <w:p>
            <w:pPr>
              <w:pStyle w:val="Compact"/>
              <w:jc w:val="left"/>
            </w:pPr>
            <w:r>
              <w:t xml:space="preserve">03</w:t>
            </w:r>
          </w:p>
        </w:tc>
        <w:tc>
          <w:tcPr/>
          <w:p>
            <w:pPr>
              <w:pStyle w:val="Compact"/>
              <w:jc w:val="left"/>
            </w:pPr>
            <w:r>
              <w:t xml:space="preserve">Access fees — Bibliothèque nationale de France, Sorbonne archives, and specialized databases</w:t>
            </w:r>
          </w:p>
        </w:tc>
        <w:tc>
          <w:tcPr/>
          <w:p>
            <w:pPr>
              <w:pStyle w:val="Compact"/>
              <w:jc w:val="left"/>
            </w:pPr>
            <w:r>
              <w:t xml:space="preserve">Annual</w:t>
            </w:r>
          </w:p>
        </w:tc>
        <w:tc>
          <w:tcPr/>
          <w:p>
            <w:pPr>
              <w:pStyle w:val="Compact"/>
              <w:jc w:val="left"/>
            </w:pPr>
            <w:r>
              <w:t xml:space="preserve">4,500.00</w:t>
            </w:r>
          </w:p>
        </w:tc>
        <w:tc>
          <w:tcPr/>
          <w:p>
            <w:pPr>
              <w:pStyle w:val="Compact"/>
              <w:jc w:val="left"/>
            </w:pPr>
            <w:r>
              <w:t xml:space="preserve">4,500.00</w:t>
            </w:r>
          </w:p>
        </w:tc>
      </w:tr>
      <w:tr>
        <w:tc>
          <w:tcPr/>
          <w:p>
            <w:pPr>
              <w:pStyle w:val="Compact"/>
              <w:jc w:val="left"/>
            </w:pPr>
            <w:r>
              <w:t xml:space="preserve">04</w:t>
            </w:r>
          </w:p>
        </w:tc>
        <w:tc>
          <w:tcPr/>
          <w:p>
            <w:pPr>
              <w:pStyle w:val="Compact"/>
              <w:jc w:val="left"/>
            </w:pPr>
            <w:r>
              <w:t xml:space="preserve">Publication costs — Open-access fees for three peer-reviewed articles</w:t>
            </w:r>
          </w:p>
        </w:tc>
        <w:tc>
          <w:tcPr/>
          <w:p>
            <w:pPr>
              <w:pStyle w:val="Compact"/>
              <w:jc w:val="left"/>
            </w:pPr>
            <w:r>
              <w:t xml:space="preserve">3 articles</w:t>
            </w:r>
          </w:p>
        </w:tc>
        <w:tc>
          <w:tcPr/>
          <w:p>
            <w:pPr>
              <w:pStyle w:val="Compact"/>
              <w:jc w:val="left"/>
            </w:pPr>
            <w:r>
              <w:t xml:space="preserve">1,800.00</w:t>
            </w:r>
          </w:p>
        </w:tc>
        <w:tc>
          <w:tcPr/>
          <w:p>
            <w:pPr>
              <w:pStyle w:val="Compact"/>
              <w:jc w:val="left"/>
            </w:pPr>
            <w:r>
              <w:t xml:space="preserve">5,400.00</w:t>
            </w:r>
          </w:p>
        </w:tc>
      </w:tr>
      <w:tr>
        <w:tc>
          <w:tcPr/>
          <w:p>
            <w:pPr>
              <w:pStyle w:val="Compact"/>
              <w:jc w:val="left"/>
            </w:pPr>
            <w:r>
              <w:t xml:space="preserve">05</w:t>
            </w:r>
          </w:p>
        </w:tc>
        <w:tc>
          <w:tcPr/>
          <w:p>
            <w:pPr>
              <w:pStyle w:val="Compact"/>
              <w:jc w:val="left"/>
            </w:pPr>
            <w:r>
              <w:t xml:space="preserve">Travel and fieldwork within the France Paris metropolitan region and Île-de-France department</w:t>
            </w:r>
          </w:p>
        </w:tc>
        <w:tc>
          <w:tcPr/>
          <w:p>
            <w:pPr>
              <w:pStyle w:val="Compact"/>
              <w:jc w:val="left"/>
            </w:pPr>
            <w:r>
              <w:t xml:space="preserve">12 months</w:t>
            </w:r>
          </w:p>
        </w:tc>
        <w:tc>
          <w:tcPr/>
          <w:p>
            <w:pPr>
              <w:pStyle w:val="Compact"/>
              <w:jc w:val="left"/>
            </w:pPr>
            <w:r>
              <w:t xml:space="preserve">1,200.00</w:t>
            </w:r>
          </w:p>
        </w:tc>
        <w:tc>
          <w:tcPr/>
          <w:p>
            <w:pPr>
              <w:pStyle w:val="Compact"/>
              <w:jc w:val="left"/>
            </w:pPr>
            <w:r>
              <w:t xml:space="preserve">14,400.00</w:t>
            </w:r>
          </w:p>
        </w:tc>
      </w:tr>
      <w:tr>
        <w:tc>
          <w:tcPr/>
          <w:p>
            <w:pPr>
              <w:pStyle w:val="Compact"/>
              <w:jc w:val="left"/>
            </w:pPr>
            <w:r>
              <w:t xml:space="preserve">06</w:t>
            </w:r>
          </w:p>
        </w:tc>
        <w:tc>
          <w:tcPr/>
          <w:p>
            <w:pPr>
              <w:pStyle w:val="Compact"/>
              <w:jc w:val="left"/>
            </w:pPr>
            <w:r>
              <w:t xml:space="preserve">International conference participation (one trip outside France, including airfare, accommodation, and registration)</w:t>
            </w:r>
          </w:p>
        </w:tc>
        <w:tc>
          <w:tcPr/>
          <w:p>
            <w:pPr>
              <w:pStyle w:val="Compact"/>
              <w:jc w:val="left"/>
            </w:pPr>
            <w:r>
              <w:t xml:space="preserve">1 event</w:t>
            </w:r>
          </w:p>
        </w:tc>
        <w:tc>
          <w:tcPr/>
          <w:p>
            <w:pPr>
              <w:pStyle w:val="Compact"/>
              <w:jc w:val="left"/>
            </w:pPr>
            <w:r>
              <w:t xml:space="preserve">3,500.00</w:t>
            </w:r>
          </w:p>
        </w:tc>
        <w:tc>
          <w:tcPr/>
          <w:p>
            <w:pPr>
              <w:pStyle w:val="Compact"/>
              <w:jc w:val="left"/>
            </w:pPr>
            <w:r>
              <w:t xml:space="preserve">3,500.00</w:t>
            </w:r>
          </w:p>
        </w:tc>
      </w:tr>
      <w:tr>
        <w:tc>
          <w:tcPr/>
          <w:p>
            <w:pPr>
              <w:pStyle w:val="Compact"/>
              <w:jc w:val="left"/>
            </w:pPr>
            <w:r>
              <w:t xml:space="preserve">07</w:t>
            </w:r>
          </w:p>
        </w:tc>
        <w:tc>
          <w:tcPr/>
          <w:p>
            <w:pPr>
              <w:pStyle w:val="Compact"/>
              <w:jc w:val="left"/>
            </w:pPr>
            <w:r>
              <w:t xml:space="preserve">Administrative and project management overhead (IRAP institutional fee)</w:t>
            </w:r>
          </w:p>
        </w:tc>
        <w:tc>
          <w:tcPr/>
          <w:p>
            <w:pPr>
              <w:pStyle w:val="Compact"/>
              <w:jc w:val="left"/>
            </w:pPr>
            <w:r>
              <w:t xml:space="preserve">12 months</w:t>
            </w:r>
          </w:p>
        </w:tc>
        <w:tc>
          <w:tcPr/>
          <w:p>
            <w:pPr>
              <w:pStyle w:val="Compact"/>
              <w:jc w:val="left"/>
            </w:pPr>
            <w:r>
              <w:t xml:space="preserve">2,100.00</w:t>
            </w:r>
          </w:p>
        </w:tc>
        <w:tc>
          <w:tcPr/>
          <w:p>
            <w:pPr>
              <w:pStyle w:val="Compact"/>
              <w:jc w:val="left"/>
            </w:pPr>
            <w:r>
              <w:t xml:space="preserve">25,200.00</w:t>
            </w:r>
          </w:p>
        </w:tc>
      </w:tr>
      <w:tr>
        <w:tc>
          <w:tcPr/>
          <w:p>
            <w:pPr>
              <w:pStyle w:val="Compact"/>
              <w:jc w:val="left"/>
            </w:pPr>
            <w:r>
              <w:t xml:space="preserve">08</w:t>
            </w:r>
          </w:p>
        </w:tc>
        <w:tc>
          <w:tcPr/>
          <w:p>
            <w:pPr>
              <w:pStyle w:val="Compact"/>
              <w:jc w:val="left"/>
            </w:pPr>
            <w:r>
              <w:t xml:space="preserve">Doctoral supervision fee (two candidates, France Paris laboratory)</w:t>
            </w:r>
          </w:p>
        </w:tc>
        <w:tc>
          <w:tcPr/>
          <w:p>
            <w:pPr>
              <w:pStyle w:val="Compact"/>
              <w:jc w:val="left"/>
            </w:pPr>
            <w:r>
              <w:t xml:space="preserve">12 months</w:t>
            </w:r>
          </w:p>
        </w:tc>
        <w:tc>
          <w:tcPr/>
          <w:p>
            <w:pPr>
              <w:pStyle w:val="Compact"/>
              <w:jc w:val="left"/>
            </w:pPr>
            <w:r>
              <w:t xml:space="preserve">1,500.00</w:t>
            </w:r>
          </w:p>
        </w:tc>
        <w:tc>
          <w:tcPr/>
          <w:p>
            <w:pPr>
              <w:pStyle w:val="Compact"/>
              <w:jc w:val="left"/>
            </w:pPr>
            <w:r>
              <w:t xml:space="preserve">3,000.00</w:t>
            </w:r>
          </w:p>
        </w:tc>
      </w:tr>
      <w:tr>
        <w:tc>
          <w:tcPr>
            <w:gridSpan w:val="4"/>
          </w:tcPr>
          <w:p>
            <w:pPr>
              <w:pStyle w:val="Compact"/>
              <w:jc w:val="left"/>
            </w:pPr>
            <w:r>
              <w:t xml:space="preserve">Subtotal (before French VAT)</w:t>
            </w:r>
          </w:p>
        </w:tc>
        <w:tc>
          <w:tcPr/>
          <w:p>
            <w:pPr>
              <w:pStyle w:val="Compact"/>
              <w:jc w:val="left"/>
            </w:pPr>
            <w:r>
              <w:t xml:space="preserve">176,000.00</w:t>
            </w:r>
          </w:p>
        </w:tc>
      </w:tr>
      <w:tr>
        <w:tc>
          <w:tcPr>
            <w:gridSpan w:val="4"/>
          </w:tcPr>
          <w:p>
            <w:pPr>
              <w:pStyle w:val="Compact"/>
              <w:jc w:val="left"/>
            </w:pPr>
            <w:r>
              <w:t xml:space="preserve">French VAT (TVA) — 20%</w:t>
            </w:r>
          </w:p>
        </w:tc>
        <w:tc>
          <w:tcPr/>
          <w:p>
            <w:pPr>
              <w:pStyle w:val="Compact"/>
              <w:jc w:val="left"/>
            </w:pPr>
            <w:r>
              <w:t xml:space="preserve">35,200.00</w:t>
            </w:r>
          </w:p>
        </w:tc>
      </w:tr>
      <w:tr>
        <w:tc>
          <w:tcPr>
            <w:gridSpan w:val="4"/>
          </w:tcPr>
          <w:p>
            <w:pPr>
              <w:pStyle w:val="Compact"/>
              <w:jc w:val="left"/>
            </w:pPr>
            <w:r>
              <w:t xml:space="preserve">TOTAL AMOUNT DUE (EUR)</w:t>
            </w:r>
          </w:p>
        </w:tc>
        <w:tc>
          <w:tcPr/>
          <w:p>
            <w:pPr>
              <w:pStyle w:val="Compact"/>
              <w:jc w:val="left"/>
            </w:pPr>
            <w:r>
              <w:t xml:space="preserve">211,200.00</w:t>
            </w:r>
          </w:p>
        </w:tc>
      </w:tr>
    </w:tbl>
    <w:bookmarkEnd w:id="23"/>
    <w:bookmarkStart w:id="24" w:name="payment-terms"/>
    <w:p>
      <w:pPr>
        <w:pStyle w:val="Heading3"/>
      </w:pPr>
      <w:r>
        <w:t xml:space="preserve">3. Payment Terms</w:t>
      </w:r>
    </w:p>
    <w:p>
      <w:pPr>
        <w:pStyle w:val="FirstParagraph"/>
      </w:pPr>
      <w:r>
        <w:t xml:space="preserve">Payment for this Quotation Estimate shall be made in three installments via bank transfer to the IRAP account (IBAN: FR76 3000 4000 0312 3456 7890 123, BIC: BNPAFRPPXXX):</w:t>
      </w:r>
    </w:p>
    <w:p>
      <w:pPr>
        <w:numPr>
          <w:ilvl w:val="0"/>
          <w:numId w:val="1002"/>
        </w:numPr>
        <w:pStyle w:val="Compact"/>
      </w:pPr>
      <w:r>
        <w:rPr>
          <w:bCs/>
          <w:b/>
        </w:rPr>
        <w:t xml:space="preserve">First installment (50%):</w:t>
      </w:r>
      <w:r>
        <w:t xml:space="preserve"> </w:t>
      </w:r>
      <w:r>
        <w:t xml:space="preserve">EUR 105,600.00 — due within 30 days of contract signature, prior to the commencement of the Academic Researcher's engagement in France Paris.</w:t>
      </w:r>
    </w:p>
    <w:p>
      <w:pPr>
        <w:numPr>
          <w:ilvl w:val="0"/>
          <w:numId w:val="1002"/>
        </w:numPr>
        <w:pStyle w:val="Compact"/>
      </w:pPr>
      <w:r>
        <w:rPr>
          <w:bCs/>
          <w:b/>
        </w:rPr>
        <w:t xml:space="preserve">Second installment (30%):</w:t>
      </w:r>
      <w:r>
        <w:t xml:space="preserve"> </w:t>
      </w:r>
      <w:r>
        <w:t xml:space="preserve">EUR 63,360.00 — due upon completion of the six-month interim report, no later than 28 February 2026.</w:t>
      </w:r>
    </w:p>
    <w:p>
      <w:pPr>
        <w:numPr>
          <w:ilvl w:val="0"/>
          <w:numId w:val="1002"/>
        </w:numPr>
        <w:pStyle w:val="Compact"/>
      </w:pPr>
      <w:r>
        <w:rPr>
          <w:bCs/>
          <w:b/>
        </w:rPr>
        <w:t xml:space="preserve">Third installment (20%):</w:t>
      </w:r>
      <w:r>
        <w:t xml:space="preserve"> </w:t>
      </w:r>
      <w:r>
        <w:t xml:space="preserve">EUR 42,240.00 — due upon delivery of the final research dossier and all agreed deliverables, no later than 30 September 2026.</w:t>
      </w:r>
    </w:p>
    <w:p>
      <w:pPr>
        <w:pStyle w:val="FirstParagraph"/>
      </w:pPr>
      <w:r>
        <w:t xml:space="preserve">Late payments shall incur a penalty of 1.5% per month of delay, in accordance with French commercial law (Code de commerce, Article L441-10).</w:t>
      </w:r>
    </w:p>
    <w:bookmarkEnd w:id="24"/>
    <w:bookmarkStart w:id="25" w:name="terms-and-conditions"/>
    <w:p>
      <w:pPr>
        <w:pStyle w:val="Heading3"/>
      </w:pPr>
      <w:r>
        <w:t xml:space="preserve">4. Terms and Conditions</w:t>
      </w:r>
    </w:p>
    <w:p>
      <w:pPr>
        <w:numPr>
          <w:ilvl w:val="0"/>
          <w:numId w:val="1003"/>
        </w:numPr>
        <w:pStyle w:val="Compact"/>
      </w:pPr>
      <w:r>
        <w:t xml:space="preserve">This Quotation Estimate is valid for a period of ninety (90) calendar days from the date of issue. Beyond this period, all rates and availability of the Academic Researcher are subject to renegotiation.</w:t>
      </w:r>
    </w:p>
    <w:p>
      <w:pPr>
        <w:numPr>
          <w:ilvl w:val="0"/>
          <w:numId w:val="1003"/>
        </w:numPr>
        <w:pStyle w:val="Compact"/>
      </w:pPr>
      <w:r>
        <w:t xml:space="preserve">The Academic Researcher shall comply with all applicable French labor regulations, data protection laws (RGPD / GDPR), and the ethical standards of the French National Research Agency (ANR).</w:t>
      </w:r>
    </w:p>
    <w:p>
      <w:pPr>
        <w:numPr>
          <w:ilvl w:val="0"/>
          <w:numId w:val="1003"/>
        </w:numPr>
        <w:pStyle w:val="Compact"/>
      </w:pPr>
      <w:r>
        <w:t xml:space="preserve">All intellectual property generated during the course of this engagement shall be jointly owned by the Academic Researcher and Université Paris Cité, as stipulated in the French Code de la propriété intellectuelle.</w:t>
      </w:r>
    </w:p>
    <w:p>
      <w:pPr>
        <w:numPr>
          <w:ilvl w:val="0"/>
          <w:numId w:val="1003"/>
        </w:numPr>
        <w:pStyle w:val="Compact"/>
      </w:pPr>
      <w:r>
        <w:t xml:space="preserve">The client reserves the right to request up to two (2) revisions of any deliverable at no additional cost. Further revisions will be billed at the Academic Researcher's standard hourly rate of EUR 120.00.</w:t>
      </w:r>
    </w:p>
    <w:p>
      <w:pPr>
        <w:numPr>
          <w:ilvl w:val="0"/>
          <w:numId w:val="1003"/>
        </w:numPr>
        <w:pStyle w:val="Compact"/>
      </w:pPr>
      <w:r>
        <w:t xml:space="preserve">This Quotation Estimate does not constitute a binding contract until both parties have executed a formal service agreement (contrat de prestation de services) in accordance with French civil law.</w:t>
      </w:r>
    </w:p>
    <w:p>
      <w:pPr>
        <w:numPr>
          <w:ilvl w:val="0"/>
          <w:numId w:val="1003"/>
        </w:numPr>
        <w:pStyle w:val="Compact"/>
      </w:pPr>
      <w:r>
        <w:t xml:space="preserve">Any dispute arising from this Quotation Estimate or the subsequent contract shall be resolved by the competent courts of Paris, France, or by arbitration under the rules of the CCI Paris.</w:t>
      </w:r>
    </w:p>
    <w:p>
      <w:pPr>
        <w:numPr>
          <w:ilvl w:val="0"/>
          <w:numId w:val="1003"/>
        </w:numPr>
        <w:pStyle w:val="Compact"/>
      </w:pPr>
      <w:r>
        <w:t xml:space="preserve">The Academic Researcher is required to maintain professional liability insurance (assurance responsabilité civile professionnelle) with a minimum coverage of EUR 1,000,000 throughout the engagement period in France Paris.</w:t>
      </w:r>
    </w:p>
    <w:bookmarkEnd w:id="25"/>
    <w:bookmarkStart w:id="28" w:name="acceptance-and-authorization"/>
    <w:p>
      <w:pPr>
        <w:pStyle w:val="Heading3"/>
      </w:pPr>
      <w:r>
        <w:t xml:space="preserve">5. Acceptance and Authorization</w:t>
      </w:r>
    </w:p>
    <w:p>
      <w:pPr>
        <w:pStyle w:val="FirstParagraph"/>
      </w:pPr>
      <w:r>
        <w:t xml:space="preserve">By signing below, the requesting party acknowledges receipt of this Quotation Estimate and agrees to the terms, conditions, and pricing outlined herein for the engagement of the Academic Researcher in France Paris.</w:t>
      </w:r>
    </w:p>
    <w:bookmarkStart w:id="26" w:name="Xd8183f3876687e62220003dad0a169e9adfc531"/>
    <w:p>
      <w:pPr>
        <w:pStyle w:val="Heading4"/>
      </w:pPr>
      <w:r>
        <w:t xml:space="preserve">For Institut de Recherche Académique de Paris (IRAP)</w:t>
      </w:r>
    </w:p>
    <w:p>
      <w:pPr>
        <w:pStyle w:val="FirstParagraph"/>
      </w:pPr>
      <w:r>
        <w:t xml:space="preserve">Name: Dr. Élodie Marchand</w:t>
      </w:r>
    </w:p>
    <w:p>
      <w:pPr>
        <w:pStyle w:val="BodyText"/>
      </w:pPr>
      <w:r>
        <w:t xml:space="preserve">Title: Director of Research Services</w:t>
      </w:r>
    </w:p>
    <w:p>
      <w:pPr>
        <w:pStyle w:val="BodyText"/>
      </w:pPr>
      <w:r>
        <w:t xml:space="preserve">Signature: ___________________________</w:t>
      </w:r>
    </w:p>
    <w:p>
      <w:pPr>
        <w:pStyle w:val="BodyText"/>
      </w:pPr>
      <w:r>
        <w:t xml:space="preserve">Date: ___________________________</w:t>
      </w:r>
    </w:p>
    <w:bookmarkEnd w:id="26"/>
    <w:bookmarkStart w:id="27" w:name="for-université-paris-cité-client"/>
    <w:p>
      <w:pPr>
        <w:pStyle w:val="Heading4"/>
      </w:pPr>
      <w:r>
        <w:t xml:space="preserve">For Université Paris Cité — Client</w:t>
      </w:r>
    </w:p>
    <w:p>
      <w:pPr>
        <w:pStyle w:val="FirstParagraph"/>
      </w:pPr>
      <w:r>
        <w:t xml:space="preserve">Name: ___________________________</w:t>
      </w:r>
    </w:p>
    <w:p>
      <w:pPr>
        <w:pStyle w:val="BodyText"/>
      </w:pPr>
      <w:r>
        <w:t xml:space="preserve">Title: Head of Department, Comparative Literature</w:t>
      </w:r>
    </w:p>
    <w:p>
      <w:pPr>
        <w:pStyle w:val="BodyText"/>
      </w:pPr>
      <w:r>
        <w:t xml:space="preserve">Signature: ___________________________</w:t>
      </w:r>
    </w:p>
    <w:p>
      <w:pPr>
        <w:pStyle w:val="BodyText"/>
      </w:pPr>
      <w:r>
        <w:t xml:space="preserve">Date: ___________________________</w:t>
      </w:r>
    </w:p>
    <w:bookmarkEnd w:id="27"/>
    <w:p>
      <w:pPr>
        <w:pStyle w:val="BodyText"/>
      </w:pPr>
      <w:r>
        <w:t xml:space="preserve">Quotation Estimate No. QTE-2025-04871-PR — Institut de Recherche Académique de Paris (IRAP) — 12 Rue de la Sorbonne, 75005 Paris, France</w:t>
      </w:r>
    </w:p>
    <w:p>
      <w:pPr>
        <w:pStyle w:val="BodyText"/>
      </w:pPr>
      <w:r>
        <w:t xml:space="preserve">Tel: +33 1 44 27 38 00 — Email: contact@irap-paris.fr — SIRET: 842 567 123 00019</w:t>
      </w:r>
    </w:p>
    <w:p>
      <w:pPr>
        <w:pStyle w:val="BodyText"/>
      </w:pPr>
      <w:r>
        <w:t xml:space="preserve">This document is generated electronically and does not require a physical signature to be valid under French law (Code civil, Article 1366).</w:t>
      </w:r>
    </w:p>
    <w:bookmarkEnd w:id="28"/>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1"/>
  </w:num>
  <w:num w:numId="1002">
    <w:abstractNumId w:val="991"/>
  </w:num>
  <w:num w:numId="1003">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Quotation Estimate - Academic Researcher Services - France Paris</dc:title>
  <dc:creator/>
  <dc:language>en</dc:language>
  <cp:keywords/>
  <dcterms:created xsi:type="dcterms:W3CDTF">2026-10-10T07:00:50Z</dcterms:created>
  <dcterms:modified xsi:type="dcterms:W3CDTF">2026-10-10T07:00:50Z</dcterms:modified>
</cp:coreProperties>
</file>

<file path=docProps/custom.xml><?xml version="1.0" encoding="utf-8"?>
<Properties xmlns="http://schemas.openxmlformats.org/officeDocument/2006/custom-properties" xmlns:vt="http://schemas.openxmlformats.org/officeDocument/2006/docPropsVTypes"/>
</file>