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Germany</w:t>
      </w:r>
      <w:r>
        <w:t xml:space="preserve"> </w:t>
      </w:r>
      <w:r>
        <w:t xml:space="preserve">Berlin</w:t>
      </w:r>
    </w:p>
    <w:bookmarkStart w:id="20" w:name="quotation-estimate"/>
    <w:p>
      <w:pPr>
        <w:pStyle w:val="Heading1"/>
      </w:pPr>
      <w:r>
        <w:t xml:space="preserve">Quotation Estimate</w:t>
      </w:r>
    </w:p>
    <w:p>
      <w:pPr>
        <w:pStyle w:val="FirstParagraph"/>
      </w:pPr>
      <w:r>
        <w:t xml:space="preserve">Professional Engagement of an Academic Researcher</w:t>
      </w:r>
    </w:p>
    <w:p>
      <w:pPr>
        <w:pStyle w:val="BodyText"/>
      </w:pPr>
      <w:r>
        <w:t xml:space="preserve">Location: Germany Berlin — Federal Republic of Germany</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Document Reference:</w:t>
            </w:r>
          </w:p>
        </w:tc>
        <w:tc>
          <w:tcPr/>
          <w:p>
            <w:pPr>
              <w:pStyle w:val="Compact"/>
              <w:jc w:val="left"/>
            </w:pPr>
            <w:r>
              <w:t xml:space="preserve">QE-2025-BER-0047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30 calendar days from date of issue</w:t>
            </w:r>
          </w:p>
        </w:tc>
      </w:tr>
      <w:tr>
        <w:tc>
          <w:tcPr/>
          <w:p>
            <w:pPr>
              <w:pStyle w:val="Compact"/>
              <w:jc w:val="left"/>
            </w:pPr>
            <w:r>
              <w:t xml:space="preserve">Currency:</w:t>
            </w:r>
          </w:p>
        </w:tc>
        <w:tc>
          <w:tcPr/>
          <w:p>
            <w:pPr>
              <w:pStyle w:val="Compact"/>
              <w:jc w:val="left"/>
            </w:pPr>
            <w:r>
              <w:t xml:space="preserve">Euro (EUR)</w:t>
            </w:r>
          </w:p>
        </w:tc>
      </w:tr>
      <w:tr>
        <w:tc>
          <w:tcPr/>
          <w:p>
            <w:pPr>
              <w:pStyle w:val="Compact"/>
              <w:jc w:val="left"/>
            </w:pPr>
            <w:r>
              <w:t xml:space="preserve">Applicable Jurisdiction:</w:t>
            </w:r>
          </w:p>
        </w:tc>
        <w:tc>
          <w:tcPr/>
          <w:p>
            <w:pPr>
              <w:pStyle w:val="Compact"/>
              <w:jc w:val="left"/>
            </w:pPr>
            <w:r>
              <w:t xml:space="preserve">Germany Berlin, Federal Republic of Germany</w:t>
            </w:r>
          </w:p>
        </w:tc>
      </w:tr>
    </w:tbl>
    <w:bookmarkStart w:id="23" w:name="parties-involved"/>
    <w:p>
      <w:pPr>
        <w:pStyle w:val="Heading2"/>
      </w:pPr>
      <w:r>
        <w:t xml:space="preserve">1. Parties Involved</w:t>
      </w:r>
    </w:p>
    <w:bookmarkStart w:id="21" w:name="service-provider-contractor"/>
    <w:p>
      <w:pPr>
        <w:pStyle w:val="Heading3"/>
      </w:pPr>
      <w:r>
        <w:t xml:space="preserve">Service Provider (Contractor)</w:t>
      </w:r>
    </w:p>
    <w:p>
      <w:pPr>
        <w:pStyle w:val="FirstParagraph"/>
      </w:pPr>
      <w:r>
        <w:rPr>
          <w:bCs/>
          <w:b/>
        </w:rPr>
        <w:t xml:space="preserve">Name:</w:t>
      </w:r>
      <w:r>
        <w:t xml:space="preserve"> </w:t>
      </w:r>
      <w:r>
        <w:t xml:space="preserve">Dr. Helena Voss</w:t>
      </w:r>
    </w:p>
    <w:p>
      <w:pPr>
        <w:pStyle w:val="BodyText"/>
      </w:pPr>
      <w:r>
        <w:rPr>
          <w:bCs/>
          <w:b/>
        </w:rPr>
        <w:t xml:space="preserve">Title:</w:t>
      </w:r>
      <w:r>
        <w:t xml:space="preserve"> </w:t>
      </w:r>
      <w:r>
        <w:t xml:space="preserve">Senior Academic Researcher</w:t>
      </w:r>
    </w:p>
    <w:p>
      <w:pPr>
        <w:pStyle w:val="BodyText"/>
      </w:pPr>
      <w:r>
        <w:rPr>
          <w:bCs/>
          <w:b/>
        </w:rPr>
        <w:t xml:space="preserve">Institution:</w:t>
      </w:r>
      <w:r>
        <w:t xml:space="preserve"> </w:t>
      </w:r>
      <w:r>
        <w:t xml:space="preserve">Independent Research Consultancy</w:t>
      </w:r>
    </w:p>
    <w:p>
      <w:pPr>
        <w:pStyle w:val="BodyText"/>
      </w:pPr>
      <w:r>
        <w:rPr>
          <w:bCs/>
          <w:b/>
        </w:rPr>
        <w:t xml:space="preserve">Address:</w:t>
      </w:r>
      <w:r>
        <w:t xml:space="preserve"> </w:t>
      </w:r>
      <w:r>
        <w:t xml:space="preserve">Friedrichstraße 142, 10117 Berlin, Germany</w:t>
      </w:r>
    </w:p>
    <w:p>
      <w:pPr>
        <w:pStyle w:val="BodyText"/>
      </w:pPr>
      <w:r>
        <w:rPr>
          <w:bCs/>
          <w:b/>
        </w:rPr>
        <w:t xml:space="preserve">Email:</w:t>
      </w:r>
      <w:r>
        <w:t xml:space="preserve"> </w:t>
      </w:r>
      <w:r>
        <w:t xml:space="preserve">h.voss@research-berlin.de</w:t>
      </w:r>
    </w:p>
    <w:p>
      <w:pPr>
        <w:pStyle w:val="BodyText"/>
      </w:pPr>
      <w:r>
        <w:rPr>
          <w:bCs/>
          <w:b/>
        </w:rPr>
        <w:t xml:space="preserve">VAT ID:</w:t>
      </w:r>
      <w:r>
        <w:t xml:space="preserve"> </w:t>
      </w:r>
      <w:r>
        <w:t xml:space="preserve">DE 312 456 789</w:t>
      </w:r>
    </w:p>
    <w:bookmarkEnd w:id="21"/>
    <w:bookmarkStart w:id="22" w:name="client-commissioning-party"/>
    <w:p>
      <w:pPr>
        <w:pStyle w:val="Heading3"/>
      </w:pPr>
      <w:r>
        <w:t xml:space="preserve">Client (Commissioning Party)</w:t>
      </w:r>
    </w:p>
    <w:p>
      <w:pPr>
        <w:pStyle w:val="FirstParagraph"/>
      </w:pPr>
      <w:r>
        <w:rPr>
          <w:bCs/>
          <w:b/>
        </w:rPr>
        <w:t xml:space="preserve">Organization:</w:t>
      </w:r>
      <w:r>
        <w:t xml:space="preserve"> </w:t>
      </w:r>
      <w:r>
        <w:t xml:space="preserve">Berlin Institute for Advanced Studies</w:t>
      </w:r>
    </w:p>
    <w:p>
      <w:pPr>
        <w:pStyle w:val="BodyText"/>
      </w:pPr>
      <w:r>
        <w:rPr>
          <w:bCs/>
          <w:b/>
        </w:rPr>
        <w:t xml:space="preserve">Department:</w:t>
      </w:r>
      <w:r>
        <w:t xml:space="preserve"> </w:t>
      </w:r>
      <w:r>
        <w:t xml:space="preserve">Faculty of Social Sciences</w:t>
      </w:r>
    </w:p>
    <w:p>
      <w:pPr>
        <w:pStyle w:val="BodyText"/>
      </w:pPr>
      <w:r>
        <w:rPr>
          <w:bCs/>
          <w:b/>
        </w:rPr>
        <w:t xml:space="preserve">Address:</w:t>
      </w:r>
      <w:r>
        <w:t xml:space="preserve"> </w:t>
      </w:r>
      <w:r>
        <w:t xml:space="preserve">Unter den Linden 5, 10117 Berlin, Germany</w:t>
      </w:r>
    </w:p>
    <w:p>
      <w:pPr>
        <w:pStyle w:val="BodyText"/>
      </w:pPr>
      <w:r>
        <w:rPr>
          <w:bCs/>
          <w:b/>
        </w:rPr>
        <w:t xml:space="preserve">Contact Person:</w:t>
      </w:r>
      <w:r>
        <w:t xml:space="preserve"> </w:t>
      </w:r>
      <w:r>
        <w:t xml:space="preserve">Prof. Dr. Markus Stein</w:t>
      </w:r>
    </w:p>
    <w:p>
      <w:pPr>
        <w:pStyle w:val="BodyText"/>
      </w:pPr>
      <w:r>
        <w:rPr>
          <w:bCs/>
          <w:b/>
        </w:rPr>
        <w:t xml:space="preserve">Email:</w:t>
      </w:r>
      <w:r>
        <w:t xml:space="preserve"> </w:t>
      </w:r>
      <w:r>
        <w:t xml:space="preserve">m.stein@biab-berlin.de</w:t>
      </w:r>
    </w:p>
    <w:bookmarkEnd w:id="22"/>
    <w:bookmarkEnd w:id="23"/>
    <w:bookmarkStart w:id="24" w:name="scope-of-work"/>
    <w:p>
      <w:pPr>
        <w:pStyle w:val="Heading2"/>
      </w:pPr>
      <w:r>
        <w:t xml:space="preserve">2. Scope of Work</w:t>
      </w:r>
    </w:p>
    <w:p>
      <w:pPr>
        <w:pStyle w:val="FirstParagraph"/>
      </w:pPr>
      <w:r>
        <w:t xml:space="preserve">This</w:t>
      </w:r>
      <w:r>
        <w:t xml:space="preserve"> </w:t>
      </w:r>
      <w:r>
        <w:t xml:space="preserve">Quotation Estimate</w:t>
      </w:r>
      <w:r>
        <w:t xml:space="preserve"> </w:t>
      </w:r>
      <w:r>
        <w:t xml:space="preserve">outlines the professional services to be rendered by the</w:t>
      </w:r>
      <w:r>
        <w:t xml:space="preserve"> </w:t>
      </w:r>
      <w:r>
        <w:t xml:space="preserve">Academic Researcher</w:t>
      </w:r>
      <w:r>
        <w:t xml:space="preserve">, Dr. Helena Voss, in the capacity of an independent consultant engaged by the Berlin Institute for Advanced Studies. The engagement is to be conducted within the metropolitan area of</w:t>
      </w:r>
      <w:r>
        <w:t xml:space="preserve"> </w:t>
      </w:r>
      <w:r>
        <w:t xml:space="preserve">Germany Berlin</w:t>
      </w:r>
      <w:r>
        <w:t xml:space="preserve">, with primary work performed at the client's premises located in the Mitte district. The scope encompasses the following deliverables:</w:t>
      </w:r>
    </w:p>
    <w:p>
      <w:pPr>
        <w:numPr>
          <w:ilvl w:val="0"/>
          <w:numId w:val="1001"/>
        </w:numPr>
        <w:pStyle w:val="Compact"/>
      </w:pPr>
      <w:r>
        <w:t xml:space="preserve">Conducting a comprehensive literature review and systematic analysis of peer-reviewed publications in the field of urban sociology and migration studies, with a specific focus on demographic trends in Germany Berlin over the past two decades.</w:t>
      </w:r>
    </w:p>
    <w:p>
      <w:pPr>
        <w:numPr>
          <w:ilvl w:val="0"/>
          <w:numId w:val="1001"/>
        </w:numPr>
        <w:pStyle w:val="Compact"/>
      </w:pPr>
      <w:r>
        <w:t xml:space="preserve">Designing and executing a mixed-methods research protocol, including semi-structured interviews (minimum 40 participants) and a quantitative survey (minimum 500 respondents) conducted across the districts of Berlin.</w:t>
      </w:r>
    </w:p>
    <w:p>
      <w:pPr>
        <w:numPr>
          <w:ilvl w:val="0"/>
          <w:numId w:val="1001"/>
        </w:numPr>
        <w:pStyle w:val="Compact"/>
      </w:pPr>
      <w:r>
        <w:t xml:space="preserve">Performing statistical data analysis using SPSS and R, producing interpretive reports with visual data representations suitable for academic publication and policy briefs.</w:t>
      </w:r>
    </w:p>
    <w:p>
      <w:pPr>
        <w:numPr>
          <w:ilvl w:val="0"/>
          <w:numId w:val="1001"/>
        </w:numPr>
        <w:pStyle w:val="Compact"/>
      </w:pPr>
      <w:r>
        <w:t xml:space="preserve">Preparing a final research report of no fewer than 80 pages, including an executive summary, methodology section, findings, discussion, and policy recommendations tailored to the governance context of Germany Berlin.</w:t>
      </w:r>
    </w:p>
    <w:p>
      <w:pPr>
        <w:numPr>
          <w:ilvl w:val="0"/>
          <w:numId w:val="1001"/>
        </w:numPr>
        <w:pStyle w:val="Compact"/>
      </w:pPr>
      <w:r>
        <w:t xml:space="preserve">Delivering one (1) presentation of findings to the client's academic board and one (1) public seminar at a venue in Germany Berlin, with associated travel and preparation time.</w:t>
      </w:r>
    </w:p>
    <w:p>
      <w:pPr>
        <w:numPr>
          <w:ilvl w:val="0"/>
          <w:numId w:val="1001"/>
        </w:numPr>
        <w:pStyle w:val="Compact"/>
      </w:pPr>
      <w:r>
        <w:t xml:space="preserve">Providing up to three (3) rounds of revisions on the final report based on feedback from the client's review panel.</w:t>
      </w:r>
    </w:p>
    <w:bookmarkEnd w:id="24"/>
    <w:bookmarkStart w:id="25"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Quantity</w:t>
            </w:r>
          </w:p>
        </w:tc>
        <w:tc>
          <w:tcPr/>
          <w:p>
            <w:pPr>
              <w:pStyle w:val="Compact"/>
              <w:jc w:val="left"/>
            </w:pPr>
            <w:r>
              <w:t xml:space="preserve">Unit Rate (EUR)</w:t>
            </w:r>
          </w:p>
        </w:tc>
        <w:tc>
          <w:tcPr/>
          <w:p>
            <w:pPr>
              <w:pStyle w:val="Compact"/>
              <w:jc w:val="left"/>
            </w:pPr>
            <w:r>
              <w:t xml:space="preserve">Subtotal (EUR)</w:t>
            </w:r>
          </w:p>
        </w:tc>
      </w:tr>
      <w:tr>
        <w:tc>
          <w:tcPr/>
          <w:p>
            <w:pPr>
              <w:pStyle w:val="Compact"/>
              <w:jc w:val="left"/>
            </w:pPr>
            <w:r>
              <w:t xml:space="preserve">1</w:t>
            </w:r>
          </w:p>
        </w:tc>
        <w:tc>
          <w:tcPr/>
          <w:p>
            <w:pPr>
              <w:pStyle w:val="Compact"/>
              <w:jc w:val="left"/>
            </w:pPr>
            <w:r>
              <w:t xml:space="preserve">Literature review and systematic analysis</w:t>
            </w:r>
          </w:p>
        </w:tc>
        <w:tc>
          <w:tcPr/>
          <w:p>
            <w:pPr>
              <w:pStyle w:val="Compact"/>
              <w:jc w:val="left"/>
            </w:pPr>
            <w:r>
              <w:t xml:space="preserve">40 hours</w:t>
            </w:r>
          </w:p>
        </w:tc>
        <w:tc>
          <w:tcPr/>
          <w:p>
            <w:pPr>
              <w:pStyle w:val="Compact"/>
              <w:jc w:val="left"/>
            </w:pPr>
            <w:r>
              <w:t xml:space="preserve">€95.00</w:t>
            </w:r>
          </w:p>
        </w:tc>
        <w:tc>
          <w:tcPr/>
          <w:p>
            <w:pPr>
              <w:pStyle w:val="Compact"/>
              <w:jc w:val="left"/>
            </w:pPr>
            <w:r>
              <w:t xml:space="preserve">€3,800.00</w:t>
            </w:r>
          </w:p>
        </w:tc>
      </w:tr>
      <w:tr>
        <w:tc>
          <w:tcPr/>
          <w:p>
            <w:pPr>
              <w:pStyle w:val="Compact"/>
              <w:jc w:val="left"/>
            </w:pPr>
            <w:r>
              <w:t xml:space="preserve">2</w:t>
            </w:r>
          </w:p>
        </w:tc>
        <w:tc>
          <w:tcPr/>
          <w:p>
            <w:pPr>
              <w:pStyle w:val="Compact"/>
              <w:jc w:val="left"/>
            </w:pPr>
            <w:r>
              <w:t xml:space="preserve">Research protocol design and ethical review submission (Ethikkommission Berlin)</w:t>
            </w:r>
          </w:p>
        </w:tc>
        <w:tc>
          <w:tcPr/>
          <w:p>
            <w:pPr>
              <w:pStyle w:val="Compact"/>
              <w:jc w:val="left"/>
            </w:pPr>
            <w:r>
              <w:t xml:space="preserve">25 hours</w:t>
            </w:r>
          </w:p>
        </w:tc>
        <w:tc>
          <w:tcPr/>
          <w:p>
            <w:pPr>
              <w:pStyle w:val="Compact"/>
              <w:jc w:val="left"/>
            </w:pPr>
            <w:r>
              <w:t xml:space="preserve">€95.00</w:t>
            </w:r>
          </w:p>
        </w:tc>
        <w:tc>
          <w:tcPr/>
          <w:p>
            <w:pPr>
              <w:pStyle w:val="Compact"/>
              <w:jc w:val="left"/>
            </w:pPr>
            <w:r>
              <w:t xml:space="preserve">€2,375.00</w:t>
            </w:r>
          </w:p>
        </w:tc>
      </w:tr>
      <w:tr>
        <w:tc>
          <w:tcPr/>
          <w:p>
            <w:pPr>
              <w:pStyle w:val="Compact"/>
              <w:jc w:val="left"/>
            </w:pPr>
            <w:r>
              <w:t xml:space="preserve">3</w:t>
            </w:r>
          </w:p>
        </w:tc>
        <w:tc>
          <w:tcPr/>
          <w:p>
            <w:pPr>
              <w:pStyle w:val="Compact"/>
              <w:jc w:val="left"/>
            </w:pPr>
            <w:r>
              <w:t xml:space="preserve">Fieldwork: semi-structured interviews (40 participants) in Germany Berlin</w:t>
            </w:r>
          </w:p>
        </w:tc>
        <w:tc>
          <w:tcPr/>
          <w:p>
            <w:pPr>
              <w:pStyle w:val="Compact"/>
              <w:jc w:val="left"/>
            </w:pPr>
            <w:r>
              <w:t xml:space="preserve">60 hours</w:t>
            </w:r>
          </w:p>
        </w:tc>
        <w:tc>
          <w:tcPr/>
          <w:p>
            <w:pPr>
              <w:pStyle w:val="Compact"/>
              <w:jc w:val="left"/>
            </w:pPr>
            <w:r>
              <w:t xml:space="preserve">€95.00</w:t>
            </w:r>
          </w:p>
        </w:tc>
        <w:tc>
          <w:tcPr/>
          <w:p>
            <w:pPr>
              <w:pStyle w:val="Compact"/>
              <w:jc w:val="left"/>
            </w:pPr>
            <w:r>
              <w:t xml:space="preserve">€5,700.00</w:t>
            </w:r>
          </w:p>
        </w:tc>
      </w:tr>
      <w:tr>
        <w:tc>
          <w:tcPr/>
          <w:p>
            <w:pPr>
              <w:pStyle w:val="Compact"/>
              <w:jc w:val="left"/>
            </w:pPr>
            <w:r>
              <w:t xml:space="preserve">4</w:t>
            </w:r>
          </w:p>
        </w:tc>
        <w:tc>
          <w:tcPr/>
          <w:p>
            <w:pPr>
              <w:pStyle w:val="Compact"/>
              <w:jc w:val="left"/>
            </w:pPr>
            <w:r>
              <w:t xml:space="preserve">Fieldwork: quantitative survey administration (500 respondents)</w:t>
            </w:r>
          </w:p>
        </w:tc>
        <w:tc>
          <w:tcPr/>
          <w:p>
            <w:pPr>
              <w:pStyle w:val="Compact"/>
              <w:jc w:val="left"/>
            </w:pPr>
            <w:r>
              <w:t xml:space="preserve">35 hours</w:t>
            </w:r>
          </w:p>
        </w:tc>
        <w:tc>
          <w:tcPr/>
          <w:p>
            <w:pPr>
              <w:pStyle w:val="Compact"/>
              <w:jc w:val="left"/>
            </w:pPr>
            <w:r>
              <w:t xml:space="preserve">€95.00</w:t>
            </w:r>
          </w:p>
        </w:tc>
        <w:tc>
          <w:tcPr/>
          <w:p>
            <w:pPr>
              <w:pStyle w:val="Compact"/>
              <w:jc w:val="left"/>
            </w:pPr>
            <w:r>
              <w:t xml:space="preserve">€3,325.00</w:t>
            </w:r>
          </w:p>
        </w:tc>
      </w:tr>
      <w:tr>
        <w:tc>
          <w:tcPr/>
          <w:p>
            <w:pPr>
              <w:pStyle w:val="Compact"/>
              <w:jc w:val="left"/>
            </w:pPr>
            <w:r>
              <w:t xml:space="preserve">5</w:t>
            </w:r>
          </w:p>
        </w:tc>
        <w:tc>
          <w:tcPr/>
          <w:p>
            <w:pPr>
              <w:pStyle w:val="Compact"/>
              <w:jc w:val="left"/>
            </w:pPr>
            <w:r>
              <w:t xml:space="preserve">Statistical data analysis and report writing</w:t>
            </w:r>
          </w:p>
        </w:tc>
        <w:tc>
          <w:tcPr/>
          <w:p>
            <w:pPr>
              <w:pStyle w:val="Compact"/>
              <w:jc w:val="left"/>
            </w:pPr>
            <w:r>
              <w:t xml:space="preserve">80 hours</w:t>
            </w:r>
          </w:p>
        </w:tc>
        <w:tc>
          <w:tcPr/>
          <w:p>
            <w:pPr>
              <w:pStyle w:val="Compact"/>
              <w:jc w:val="left"/>
            </w:pPr>
            <w:r>
              <w:t xml:space="preserve">€95.00</w:t>
            </w:r>
          </w:p>
        </w:tc>
        <w:tc>
          <w:tcPr/>
          <w:p>
            <w:pPr>
              <w:pStyle w:val="Compact"/>
              <w:jc w:val="left"/>
            </w:pPr>
            <w:r>
              <w:t xml:space="preserve">€7,600.00</w:t>
            </w:r>
          </w:p>
        </w:tc>
      </w:tr>
      <w:tr>
        <w:tc>
          <w:tcPr/>
          <w:p>
            <w:pPr>
              <w:pStyle w:val="Compact"/>
              <w:jc w:val="left"/>
            </w:pPr>
            <w:r>
              <w:t xml:space="preserve">6</w:t>
            </w:r>
          </w:p>
        </w:tc>
        <w:tc>
          <w:tcPr/>
          <w:p>
            <w:pPr>
              <w:pStyle w:val="Compact"/>
              <w:jc w:val="left"/>
            </w:pPr>
            <w:r>
              <w:t xml:space="preserve">Academic board presentation and public seminar in Germany Berlin</w:t>
            </w:r>
          </w:p>
        </w:tc>
        <w:tc>
          <w:tcPr/>
          <w:p>
            <w:pPr>
              <w:pStyle w:val="Compact"/>
              <w:jc w:val="left"/>
            </w:pPr>
            <w:r>
              <w:t xml:space="preserve">16 hours</w:t>
            </w:r>
          </w:p>
        </w:tc>
        <w:tc>
          <w:tcPr/>
          <w:p>
            <w:pPr>
              <w:pStyle w:val="Compact"/>
              <w:jc w:val="left"/>
            </w:pPr>
            <w:r>
              <w:t xml:space="preserve">€95.00</w:t>
            </w:r>
          </w:p>
        </w:tc>
        <w:tc>
          <w:tcPr/>
          <w:p>
            <w:pPr>
              <w:pStyle w:val="Compact"/>
              <w:jc w:val="left"/>
            </w:pPr>
            <w:r>
              <w:t xml:space="preserve">€1,520.00</w:t>
            </w:r>
          </w:p>
        </w:tc>
      </w:tr>
      <w:tr>
        <w:tc>
          <w:tcPr/>
          <w:p>
            <w:pPr>
              <w:pStyle w:val="Compact"/>
              <w:jc w:val="left"/>
            </w:pPr>
            <w:r>
              <w:t xml:space="preserve">7</w:t>
            </w:r>
          </w:p>
        </w:tc>
        <w:tc>
          <w:tcPr/>
          <w:p>
            <w:pPr>
              <w:pStyle w:val="Compact"/>
              <w:jc w:val="left"/>
            </w:pPr>
            <w:r>
              <w:t xml:space="preserve">Revisions (up to 3 rounds)</w:t>
            </w:r>
          </w:p>
        </w:tc>
        <w:tc>
          <w:tcPr/>
          <w:p>
            <w:pPr>
              <w:pStyle w:val="Compact"/>
              <w:jc w:val="left"/>
            </w:pPr>
            <w:r>
              <w:t xml:space="preserve">20 hours</w:t>
            </w:r>
          </w:p>
        </w:tc>
        <w:tc>
          <w:tcPr/>
          <w:p>
            <w:pPr>
              <w:pStyle w:val="Compact"/>
              <w:jc w:val="left"/>
            </w:pPr>
            <w:r>
              <w:t xml:space="preserve">€95.00</w:t>
            </w:r>
          </w:p>
        </w:tc>
        <w:tc>
          <w:tcPr/>
          <w:p>
            <w:pPr>
              <w:pStyle w:val="Compact"/>
              <w:jc w:val="left"/>
            </w:pPr>
            <w:r>
              <w:t xml:space="preserve">€1,900.00</w:t>
            </w:r>
          </w:p>
        </w:tc>
      </w:tr>
      <w:tr>
        <w:tc>
          <w:tcPr/>
          <w:p>
            <w:pPr>
              <w:pStyle w:val="Compact"/>
              <w:jc w:val="left"/>
            </w:pPr>
            <w:r>
              <w:t xml:space="preserve">8</w:t>
            </w:r>
          </w:p>
        </w:tc>
        <w:tc>
          <w:tcPr/>
          <w:p>
            <w:pPr>
              <w:pStyle w:val="Compact"/>
              <w:jc w:val="left"/>
            </w:pPr>
            <w:r>
              <w:t xml:space="preserve">Local travel within Germany Berlin (transport, parking)</w:t>
            </w:r>
          </w:p>
        </w:tc>
        <w:tc>
          <w:tcPr/>
          <w:p>
            <w:pPr>
              <w:pStyle w:val="Compact"/>
              <w:jc w:val="left"/>
            </w:pPr>
            <w:r>
              <w:t xml:space="preserve">Flat rate</w:t>
            </w:r>
          </w:p>
        </w:tc>
        <w:tc>
          <w:tcPr/>
          <w:p>
            <w:pPr>
              <w:pStyle w:val="Compact"/>
              <w:jc w:val="left"/>
            </w:pPr>
            <w:r>
              <w:t xml:space="preserve">€1.00</w:t>
            </w:r>
          </w:p>
        </w:tc>
        <w:tc>
          <w:tcPr/>
          <w:p>
            <w:pPr>
              <w:pStyle w:val="Compact"/>
              <w:jc w:val="left"/>
            </w:pPr>
            <w:r>
              <w:t xml:space="preserve">€450.00</w:t>
            </w:r>
          </w:p>
        </w:tc>
      </w:tr>
      <w:tr>
        <w:tc>
          <w:tcPr/>
          <w:p>
            <w:pPr>
              <w:pStyle w:val="Compact"/>
              <w:jc w:val="left"/>
            </w:pPr>
            <w:r>
              <w:t xml:space="preserve">9</w:t>
            </w:r>
          </w:p>
        </w:tc>
        <w:tc>
          <w:tcPr/>
          <w:p>
            <w:pPr>
              <w:pStyle w:val="Compact"/>
              <w:jc w:val="left"/>
            </w:pPr>
            <w:r>
              <w:t xml:space="preserve">Software licenses and data storage (SPSS, R, secure cloud)</w:t>
            </w:r>
          </w:p>
        </w:tc>
        <w:tc>
          <w:tcPr/>
          <w:p>
            <w:pPr>
              <w:pStyle w:val="Compact"/>
              <w:jc w:val="left"/>
            </w:pPr>
            <w:r>
              <w:t xml:space="preserve">Flat rate</w:t>
            </w:r>
          </w:p>
        </w:tc>
        <w:tc>
          <w:tcPr/>
          <w:p>
            <w:pPr>
              <w:pStyle w:val="Compact"/>
              <w:jc w:val="left"/>
            </w:pPr>
            <w:r>
              <w:t xml:space="preserve">€1.00</w:t>
            </w:r>
          </w:p>
        </w:tc>
        <w:tc>
          <w:tcPr/>
          <w:p>
            <w:pPr>
              <w:pStyle w:val="Compact"/>
              <w:jc w:val="left"/>
            </w:pPr>
            <w:r>
              <w:t xml:space="preserve">€680.00</w:t>
            </w:r>
          </w:p>
        </w:tc>
      </w:tr>
      <w:tr>
        <w:tc>
          <w:tcPr/>
          <w:p>
            <w:pPr>
              <w:pStyle w:val="Compact"/>
              <w:jc w:val="left"/>
            </w:pPr>
            <w:r>
              <w:t xml:space="preserve">10</w:t>
            </w:r>
          </w:p>
        </w:tc>
        <w:tc>
          <w:tcPr/>
          <w:p>
            <w:pPr>
              <w:pStyle w:val="Compact"/>
              <w:jc w:val="left"/>
            </w:pPr>
            <w:r>
              <w:t xml:space="preserve">Participant compensation and incentives (40 interviews + 500 surveys)</w:t>
            </w:r>
          </w:p>
        </w:tc>
        <w:tc>
          <w:tcPr/>
          <w:p>
            <w:pPr>
              <w:pStyle w:val="Compact"/>
              <w:jc w:val="left"/>
            </w:pPr>
            <w:r>
              <w:t xml:space="preserve">Flat rate</w:t>
            </w:r>
          </w:p>
        </w:tc>
        <w:tc>
          <w:tcPr/>
          <w:p>
            <w:pPr>
              <w:pStyle w:val="Compact"/>
              <w:jc w:val="left"/>
            </w:pPr>
            <w:r>
              <w:t xml:space="preserve">€1.00</w:t>
            </w:r>
          </w:p>
        </w:tc>
        <w:tc>
          <w:tcPr/>
          <w:p>
            <w:pPr>
              <w:pStyle w:val="Compact"/>
              <w:jc w:val="left"/>
            </w:pPr>
            <w:r>
              <w:t xml:space="preserve">€4,200.00</w:t>
            </w:r>
          </w:p>
        </w:tc>
      </w:tr>
      <w:tr>
        <w:tc>
          <w:tcPr>
            <w:gridSpan w:val="4"/>
          </w:tcPr>
          <w:p>
            <w:pPr>
              <w:pStyle w:val="Compact"/>
              <w:jc w:val="left"/>
            </w:pPr>
            <w:r>
              <w:t xml:space="preserve">Subtotal (excl. VAT)</w:t>
            </w:r>
          </w:p>
        </w:tc>
        <w:tc>
          <w:tcPr/>
          <w:p>
            <w:pPr>
              <w:pStyle w:val="Compact"/>
              <w:jc w:val="left"/>
            </w:pPr>
            <w:r>
              <w:t xml:space="preserve">€31,550.00</w:t>
            </w:r>
          </w:p>
        </w:tc>
      </w:tr>
      <w:tr>
        <w:tc>
          <w:tcPr>
            <w:gridSpan w:val="4"/>
          </w:tcPr>
          <w:p>
            <w:pPr>
              <w:pStyle w:val="Compact"/>
              <w:jc w:val="left"/>
            </w:pPr>
            <w:r>
              <w:t xml:space="preserve">VAT (19% — German standard rate)</w:t>
            </w:r>
          </w:p>
        </w:tc>
        <w:tc>
          <w:tcPr/>
          <w:p>
            <w:pPr>
              <w:pStyle w:val="Compact"/>
              <w:jc w:val="left"/>
            </w:pPr>
            <w:r>
              <w:t xml:space="preserve">€5,994.50</w:t>
            </w:r>
          </w:p>
        </w:tc>
      </w:tr>
      <w:tr>
        <w:tc>
          <w:tcPr>
            <w:gridSpan w:val="4"/>
          </w:tcPr>
          <w:p>
            <w:pPr>
              <w:pStyle w:val="Compact"/>
              <w:jc w:val="left"/>
            </w:pPr>
            <w:r>
              <w:rPr>
                <w:bCs/>
                <w:b/>
              </w:rPr>
              <w:t xml:space="preserve">TOTAL AMOUNT DUE (incl. VAT)</w:t>
            </w:r>
          </w:p>
        </w:tc>
        <w:tc>
          <w:tcPr/>
          <w:p>
            <w:pPr>
              <w:pStyle w:val="Compact"/>
              <w:jc w:val="left"/>
            </w:pPr>
            <w:r>
              <w:rPr>
                <w:bCs/>
                <w:b/>
              </w:rPr>
              <w:t xml:space="preserve">€37,544.50</w:t>
            </w:r>
          </w:p>
        </w:tc>
      </w:tr>
    </w:tbl>
    <w:bookmarkEnd w:id="25"/>
    <w:bookmarkStart w:id="26" w:name="payment-terms"/>
    <w:p>
      <w:pPr>
        <w:pStyle w:val="Heading2"/>
      </w:pPr>
      <w:r>
        <w:t xml:space="preserve">4. Payment Terms</w:t>
      </w:r>
    </w:p>
    <w:p>
      <w:pPr>
        <w:pStyle w:val="FirstParagraph"/>
      </w:pPr>
      <w:r>
        <w:t xml:space="preserve">This</w:t>
      </w:r>
      <w:r>
        <w:t xml:space="preserve"> </w:t>
      </w:r>
      <w:r>
        <w:t xml:space="preserve">Quotation Estimate</w:t>
      </w:r>
      <w:r>
        <w:t xml:space="preserve"> </w:t>
      </w:r>
      <w:r>
        <w:t xml:space="preserve">is structured with the following payment schedule, aligned with standard invoicing practices in Germany Berlin:</w:t>
      </w:r>
    </w:p>
    <w:p>
      <w:pPr>
        <w:numPr>
          <w:ilvl w:val="0"/>
          <w:numId w:val="1002"/>
        </w:numPr>
        <w:pStyle w:val="Compact"/>
      </w:pPr>
      <w:r>
        <w:rPr>
          <w:bCs/>
          <w:b/>
        </w:rPr>
        <w:t xml:space="preserve">30% advance payment</w:t>
      </w:r>
      <w:r>
        <w:t xml:space="preserve"> </w:t>
      </w:r>
      <w:r>
        <w:t xml:space="preserve">(€11,263.35) upon acceptance of this quotation and execution of the service agreement.</w:t>
      </w:r>
    </w:p>
    <w:p>
      <w:pPr>
        <w:numPr>
          <w:ilvl w:val="0"/>
          <w:numId w:val="1002"/>
        </w:numPr>
        <w:pStyle w:val="Compact"/>
      </w:pPr>
      <w:r>
        <w:rPr>
          <w:bCs/>
          <w:b/>
        </w:rPr>
        <w:t xml:space="preserve">40% interim payment</w:t>
      </w:r>
      <w:r>
        <w:t xml:space="preserve"> </w:t>
      </w:r>
      <w:r>
        <w:t xml:space="preserve">(€15,017.80) upon completion of fieldwork and delivery of the preliminary data analysis report.</w:t>
      </w:r>
    </w:p>
    <w:p>
      <w:pPr>
        <w:numPr>
          <w:ilvl w:val="0"/>
          <w:numId w:val="1002"/>
        </w:numPr>
        <w:pStyle w:val="Compact"/>
      </w:pPr>
      <w:r>
        <w:rPr>
          <w:bCs/>
          <w:b/>
        </w:rPr>
        <w:t xml:space="preserve">30% final payment</w:t>
      </w:r>
      <w:r>
        <w:t xml:space="preserve"> </w:t>
      </w:r>
      <w:r>
        <w:t xml:space="preserve">(€11,263.35) upon delivery and acceptance of the final research report and completion of the public seminar.</w:t>
      </w:r>
    </w:p>
    <w:p>
      <w:pPr>
        <w:pStyle w:val="FirstParagraph"/>
      </w:pPr>
      <w:r>
        <w:t xml:space="preserve">All invoices shall be issued in accordance with German tax regulations (Umsatzsteuergesetz) and are payable within 14 calendar days of the invoice date via bank transfer to the account specified on the invoice. Late payments shall accrue interest at the statutory rate of 8 percentage points above the European Central Bank base rate, as stipulated under § 288 of the German Civil Code (BGB).</w:t>
      </w:r>
    </w:p>
    <w:bookmarkEnd w:id="26"/>
    <w:bookmarkStart w:id="27"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rates and availability of the</w:t>
      </w:r>
      <w:r>
        <w:t xml:space="preserve"> </w:t>
      </w:r>
      <w:r>
        <w:t xml:space="preserve">Academic Researcher</w:t>
      </w:r>
      <w:r>
        <w:t xml:space="preserve"> </w:t>
      </w:r>
      <w:r>
        <w:t xml:space="preserve">are subject to re-evaluation.</w:t>
      </w:r>
    </w:p>
    <w:p>
      <w:pPr>
        <w:numPr>
          <w:ilvl w:val="0"/>
          <w:numId w:val="1003"/>
        </w:numPr>
        <w:pStyle w:val="Compact"/>
      </w:pPr>
      <w:r>
        <w:t xml:space="preserve">The</w:t>
      </w:r>
      <w:r>
        <w:t xml:space="preserve"> </w:t>
      </w:r>
      <w:r>
        <w:t xml:space="preserve">Academic Researcher</w:t>
      </w:r>
      <w:r>
        <w:t xml:space="preserve"> </w:t>
      </w:r>
      <w:r>
        <w:t xml:space="preserve">shall comply with all applicable data protection regulations, including the General Data Protection Regulation (GDPR / DSGVO) and the Berlin Data Protection Act (BDSG-Bln), particularly given the collection of personal data from residents of Germany Berlin.</w:t>
      </w:r>
    </w:p>
    <w:p>
      <w:pPr>
        <w:numPr>
          <w:ilvl w:val="0"/>
          <w:numId w:val="1003"/>
        </w:numPr>
        <w:pStyle w:val="Compact"/>
      </w:pPr>
      <w:r>
        <w:t xml:space="preserve">All intellectual property rights in the final research report and associated data shall transfer to the client upon full payment, subject to the</w:t>
      </w:r>
      <w:r>
        <w:t xml:space="preserve"> </w:t>
      </w:r>
      <w:r>
        <w:t xml:space="preserve">Academic Researcher</w:t>
      </w:r>
      <w:r>
        <w:t xml:space="preserve">'s right to cite the work in future academic publications with proper attribution.</w:t>
      </w:r>
    </w:p>
    <w:p>
      <w:pPr>
        <w:numPr>
          <w:ilvl w:val="0"/>
          <w:numId w:val="1003"/>
        </w:numPr>
        <w:pStyle w:val="Compact"/>
      </w:pPr>
      <w:r>
        <w:t xml:space="preserve">The</w:t>
      </w:r>
      <w:r>
        <w:t xml:space="preserve"> </w:t>
      </w:r>
      <w:r>
        <w:t xml:space="preserve">Academic Researcher</w:t>
      </w:r>
      <w:r>
        <w:t xml:space="preserve"> </w:t>
      </w:r>
      <w:r>
        <w:t xml:space="preserve">is engaged as an independent contractor and not as an employee of the client. Social security contributions, income tax, and professional liability insurance are the sole responsibility of the</w:t>
      </w:r>
      <w:r>
        <w:t xml:space="preserve"> </w:t>
      </w:r>
      <w:r>
        <w:t xml:space="preserve">Academic Researcher</w:t>
      </w:r>
      <w:r>
        <w:t xml:space="preserve">.</w:t>
      </w:r>
    </w:p>
    <w:p>
      <w:pPr>
        <w:numPr>
          <w:ilvl w:val="0"/>
          <w:numId w:val="1003"/>
        </w:numPr>
        <w:pStyle w:val="Compact"/>
      </w:pPr>
      <w:r>
        <w:t xml:space="preserve">Any changes to the scope of work must be agreed upon in writing via a formal change order. Additional hours or deliverables beyond the scope defined in this</w:t>
      </w:r>
      <w:r>
        <w:t xml:space="preserve"> </w:t>
      </w:r>
      <w:r>
        <w:t xml:space="preserve">Quotation Estimate</w:t>
      </w:r>
      <w:r>
        <w:t xml:space="preserve"> </w:t>
      </w:r>
      <w:r>
        <w:t xml:space="preserve">shall be billed at the hourly rate of €95.00 plus applicable VAT.</w:t>
      </w:r>
    </w:p>
    <w:p>
      <w:pPr>
        <w:numPr>
          <w:ilvl w:val="0"/>
          <w:numId w:val="1003"/>
        </w:numPr>
        <w:pStyle w:val="Compact"/>
      </w:pPr>
      <w:r>
        <w:t xml:space="preserve">Disputes arising from this engagement shall be governed by the laws of the Federal Republic of Germany, with exclusive jurisdiction of the competent courts in Germany Berlin (Amtsgericht / Landgericht Berlin).</w:t>
      </w:r>
    </w:p>
    <w:p>
      <w:pPr>
        <w:numPr>
          <w:ilvl w:val="0"/>
          <w:numId w:val="1003"/>
        </w:numPr>
        <w:pStyle w:val="Compact"/>
      </w:pPr>
      <w:r>
        <w:t xml:space="preserve">The</w:t>
      </w:r>
      <w:r>
        <w:t xml:space="preserve"> </w:t>
      </w:r>
      <w:r>
        <w:t xml:space="preserve">Academic Researcher</w:t>
      </w:r>
      <w:r>
        <w:t xml:space="preserve"> </w:t>
      </w:r>
      <w:r>
        <w:t xml:space="preserve">reserves the right to decline or terminate the engagement with fourteen (14) days' written notice in the event of force majeure, including but not limited to public health emergencies affecting operations in Germany Berlin.</w:t>
      </w:r>
    </w:p>
    <w:p>
      <w:pPr>
        <w:numPr>
          <w:ilvl w:val="0"/>
          <w:numId w:val="1003"/>
        </w:numPr>
        <w:pStyle w:val="Compact"/>
      </w:pPr>
      <w:r>
        <w:t xml:space="preserve">All communications regarding this</w:t>
      </w:r>
      <w:r>
        <w:t xml:space="preserve"> </w:t>
      </w:r>
      <w:r>
        <w:t xml:space="preserve">Quotation Estimate</w:t>
      </w:r>
      <w:r>
        <w:t xml:space="preserve"> </w:t>
      </w:r>
      <w:r>
        <w:t xml:space="preserve">and the subsequent service agreement shall be conducted in English, with the option to provide translated documents in German upon request.</w:t>
      </w:r>
    </w:p>
    <w:bookmarkEnd w:id="27"/>
    <w:bookmarkStart w:id="28" w:name="acceptance-and-signatures"/>
    <w:p>
      <w:pPr>
        <w:pStyle w:val="Heading2"/>
      </w:pPr>
      <w:r>
        <w:t xml:space="preserve">6. Acceptance and Signatures</w:t>
      </w:r>
    </w:p>
    <w:p>
      <w:pPr>
        <w:pStyle w:val="FirstParagraph"/>
      </w:pPr>
      <w:r>
        <w:t xml:space="preserve">By signing below, both parties acknowledge and agree to the terms, conditions, and pricing outlined in this</w:t>
      </w:r>
      <w:r>
        <w:t xml:space="preserve"> </w:t>
      </w:r>
      <w:r>
        <w:t xml:space="preserve">Quotation Estimate</w:t>
      </w:r>
      <w:r>
        <w:t xml:space="preserve"> </w:t>
      </w:r>
      <w:r>
        <w:t xml:space="preserve">for the engagement of the</w:t>
      </w:r>
      <w:r>
        <w:t xml:space="preserve"> </w:t>
      </w:r>
      <w:r>
        <w:t xml:space="preserve">Academic Researcher</w:t>
      </w:r>
      <w:r>
        <w:t xml:space="preserve"> </w:t>
      </w:r>
      <w:r>
        <w:t xml:space="preserve">in Germany Berlin.</w:t>
      </w:r>
    </w:p>
    <w:p>
      <w:pPr>
        <w:pStyle w:val="BodyText"/>
      </w:pPr>
      <w:r>
        <w:rPr>
          <w:bCs/>
          <w:b/>
        </w:rPr>
        <w:t xml:space="preserve">For the Service Provider</w:t>
      </w:r>
    </w:p>
    <w:p>
      <w:pPr>
        <w:pStyle w:val="BodyText"/>
      </w:pPr>
      <w:r>
        <w:t xml:space="preserve">Dr. Helena Voss</w:t>
      </w:r>
    </w:p>
    <w:p>
      <w:pPr>
        <w:pStyle w:val="BodyText"/>
      </w:pPr>
      <w:r>
        <w:t xml:space="preserve">Academic Researcher</w:t>
      </w:r>
    </w:p>
    <w:p>
      <w:pPr>
        <w:pStyle w:val="BodyText"/>
      </w:pPr>
      <w:r>
        <w:t xml:space="preserve">Signature &amp; Date</w:t>
      </w:r>
    </w:p>
    <w:p>
      <w:pPr>
        <w:pStyle w:val="BodyText"/>
      </w:pPr>
      <w:r>
        <w:rPr>
          <w:bCs/>
          <w:b/>
        </w:rPr>
        <w:t xml:space="preserve">For the Client</w:t>
      </w:r>
    </w:p>
    <w:p>
      <w:pPr>
        <w:pStyle w:val="BodyText"/>
      </w:pPr>
      <w:r>
        <w:t xml:space="preserve">Prof. Dr. Markus Stein</w:t>
      </w:r>
    </w:p>
    <w:p>
      <w:pPr>
        <w:pStyle w:val="BodyText"/>
      </w:pPr>
      <w:r>
        <w:t xml:space="preserve">Director, Faculty of Social Sciences</w:t>
      </w:r>
    </w:p>
    <w:p>
      <w:pPr>
        <w:pStyle w:val="BodyText"/>
      </w:pPr>
      <w:r>
        <w:t xml:space="preserve">Berlin Institute for Advanced Studies</w:t>
      </w:r>
    </w:p>
    <w:p>
      <w:pPr>
        <w:pStyle w:val="BodyText"/>
      </w:pPr>
      <w:r>
        <w:t xml:space="preserve">Signature &amp; Date</w:t>
      </w:r>
    </w:p>
    <w:p>
      <w:pPr>
        <w:pStyle w:val="BodyText"/>
      </w:pPr>
      <w:r>
        <w:t xml:space="preserve">Quotation Estimate QE-2025-BER-0047 — Academic Researcher Engagement — Germany Berlin</w:t>
      </w:r>
    </w:p>
    <w:p>
      <w:pPr>
        <w:pStyle w:val="BodyText"/>
      </w:pPr>
      <w:r>
        <w:t xml:space="preserve">This document is generated for professional consultation purposes. All figures are in Euro (EUR) and subject to the terms stated herein.</w:t>
      </w:r>
    </w:p>
    <w:p>
      <w:pPr>
        <w:pStyle w:val="BodyText"/>
      </w:pPr>
      <w:r>
        <w:t xml:space="preserve">© 2025.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Academic Researcher - Germany Berlin</dc:title>
  <dc:creator/>
  <dc:language>en</dc:language>
  <cp:keywords/>
  <dcterms:created xsi:type="dcterms:W3CDTF">2026-10-10T06:41:12Z</dcterms:created>
  <dcterms:modified xsi:type="dcterms:W3CDTF">2026-10-10T06:41:12Z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