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-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0" w:name="frankfurt-academic-consulting-gmbh"/>
    <w:p>
      <w:pPr>
        <w:pStyle w:val="Heading1"/>
      </w:pPr>
      <w:r>
        <w:t xml:space="preserve">Frankfurt Academic Consulting GmbH</w:t>
      </w:r>
    </w:p>
    <w:p>
      <w:pPr>
        <w:pStyle w:val="FirstParagraph"/>
      </w:pPr>
      <w:r>
        <w:t xml:space="preserve">Mainzer Landstraße 142, 60329 Frankfurt am Main, Germany</w:t>
      </w:r>
    </w:p>
    <w:p>
      <w:pPr>
        <w:pStyle w:val="BodyText"/>
      </w:pPr>
      <w:r>
        <w:t xml:space="preserve">Phone: +49 69 1234 5678 | Email: info@frankfurtacademic.de</w:t>
      </w:r>
    </w:p>
    <w:p>
      <w:pPr>
        <w:pStyle w:val="BodyText"/>
      </w:pPr>
      <w:r>
        <w:t xml:space="preserve">USt-IdNr.: DE 312 456 789</w:t>
      </w:r>
    </w:p>
    <w:bookmarkEnd w:id="20"/>
    <w:bookmarkStart w:id="21" w:name="quotation-estimate"/>
    <w:p>
      <w:pPr>
        <w:pStyle w:val="Heading2"/>
      </w:pPr>
      <w:r>
        <w:t xml:space="preserve">QUOTATION ESTIMATE</w:t>
      </w:r>
    </w:p>
    <w:p>
      <w:pPr>
        <w:pStyle w:val="FirstParagraph"/>
      </w:pPr>
      <w:r>
        <w:t xml:space="preserve">Ref. No.: QTE-2025-FRA-0847</w:t>
      </w:r>
    </w:p>
    <w:p>
      <w:pPr>
        <w:pStyle w:val="BodyText"/>
      </w:pPr>
      <w:r>
        <w:t xml:space="preserve">Date: 15 June 2025</w:t>
      </w:r>
    </w:p>
    <w:p>
      <w:pPr>
        <w:pStyle w:val="BodyText"/>
      </w:pPr>
      <w:r>
        <w:t xml:space="preserve">Valid Until: 15 July 2025</w:t>
      </w:r>
    </w:p>
    <w:bookmarkEnd w:id="21"/>
    <w:bookmarkStart w:id="22" w:name="quotation-estimate-overview"/>
    <w:p>
      <w:pPr>
        <w:pStyle w:val="Heading3"/>
      </w:pPr>
      <w:r>
        <w:t xml:space="preserve">1. Quotation Estimate Overview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Frankfurt Academic Consulting GmbH in response to the formal request for the engagement of a qualified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to support ongoing research initiatives within the greater</w:t>
      </w:r>
      <w:r>
        <w:t xml:space="preserve"> </w:t>
      </w:r>
      <w:r>
        <w:t xml:space="preserve">Germany Frankfurt</w:t>
      </w:r>
      <w:r>
        <w:t xml:space="preserve"> </w:t>
      </w:r>
      <w:r>
        <w:t xml:space="preserve">metropolitan area. This document outlines the complete scope of services, associated costs, and contractual terms governing the proposed engagement. All figures presented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denominated in Euros (EUR) and are subject to the applicable German value-added tax (VAT) regulations as stipulated under the Umsatzsteuergesetz (UStG).</w:t>
      </w:r>
    </w:p>
    <w:bookmarkEnd w:id="22"/>
    <w:bookmarkStart w:id="23" w:name="client-information"/>
    <w:p>
      <w:pPr>
        <w:pStyle w:val="Heading3"/>
      </w:pPr>
      <w:r>
        <w:t xml:space="preserve">2. Client Information</w:t>
      </w:r>
    </w:p>
    <w:p>
      <w:pPr>
        <w:pStyle w:val="FirstParagraph"/>
      </w:pPr>
      <w:r>
        <w:t xml:space="preserve">Client Name</w:t>
      </w:r>
    </w:p>
    <w:p>
      <w:pPr>
        <w:pStyle w:val="BodyText"/>
      </w:pPr>
      <w:r>
        <w:t xml:space="preserve">Goethe University of Frankfurt – Institute of Advanced Studies</w:t>
      </w:r>
    </w:p>
    <w:p>
      <w:pPr>
        <w:pStyle w:val="BodyText"/>
      </w:pPr>
      <w:r>
        <w:t xml:space="preserve">Client Address</w:t>
      </w:r>
    </w:p>
    <w:p>
      <w:pPr>
        <w:pStyle w:val="BodyText"/>
      </w:pPr>
      <w:r>
        <w:t xml:space="preserve">Theodor-W.-Adorno-Platz 3, 60323 Frankfurt am Main, Germany</w:t>
      </w:r>
    </w:p>
    <w:p>
      <w:pPr>
        <w:pStyle w:val="BodyText"/>
      </w:pPr>
      <w:r>
        <w:t xml:space="preserve">Contact Person</w:t>
      </w:r>
    </w:p>
    <w:p>
      <w:pPr>
        <w:pStyle w:val="BodyText"/>
      </w:pPr>
      <w:r>
        <w:t xml:space="preserve">Prof. Dr. Helena Brandt, Head of Research Division</w:t>
      </w:r>
    </w:p>
    <w:p>
      <w:pPr>
        <w:pStyle w:val="BodyText"/>
      </w:pPr>
      <w:r>
        <w:t xml:space="preserve">Project Reference</w:t>
      </w:r>
    </w:p>
    <w:p>
      <w:pPr>
        <w:pStyle w:val="BodyText"/>
      </w:pPr>
      <w:r>
        <w:t xml:space="preserve">GA-RES-2025-0312 (Interdisciplinary Social Sciences Programme)</w:t>
      </w:r>
    </w:p>
    <w:bookmarkEnd w:id="23"/>
    <w:bookmarkStart w:id="24" w:name="Xbb6f56a2991cbb169ae8a31b7a96e8a15a3c0a0"/>
    <w:p>
      <w:pPr>
        <w:pStyle w:val="Heading3"/>
      </w:pPr>
      <w:r>
        <w:t xml:space="preserve">3. Scope of Services – Academic Researcher Engagement</w:t>
      </w:r>
    </w:p>
    <w:p>
      <w:pPr>
        <w:pStyle w:val="FirstParagraph"/>
      </w:pPr>
      <w:r>
        <w:t xml:space="preserve">The proposed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will be engaged on a fixed-term basis to conduct, coordinate, and deliver high-quality research activities aligned with the strategic objectives of the client institution. The engagement is specifically tailored to the academic and professional landscape of</w:t>
      </w:r>
      <w:r>
        <w:t xml:space="preserve"> </w:t>
      </w:r>
      <w:r>
        <w:t xml:space="preserve">Germany Frankfurt</w:t>
      </w:r>
      <w:r>
        <w:t xml:space="preserve">, leveraging the region's concentration of universities, research institutes, and international organisations. The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shall perform the following duties:</w:t>
      </w:r>
    </w:p>
    <w:p>
      <w:pPr>
        <w:numPr>
          <w:ilvl w:val="0"/>
          <w:numId w:val="1001"/>
        </w:numPr>
        <w:pStyle w:val="Compact"/>
      </w:pPr>
      <w:r>
        <w:t xml:space="preserve">Design and execute original research projects in the fields of comparative European policy, urban economics, and digital transformation studies.</w:t>
      </w:r>
    </w:p>
    <w:p>
      <w:pPr>
        <w:numPr>
          <w:ilvl w:val="0"/>
          <w:numId w:val="1001"/>
        </w:numPr>
        <w:pStyle w:val="Compact"/>
      </w:pPr>
      <w:r>
        <w:t xml:space="preserve">Conduct systematic literature reviews and bibliometric analyses using institutional databases available in Frankfurt, including the Deutsche Nationalbibliothek and the Goethe University library network.</w:t>
      </w:r>
    </w:p>
    <w:p>
      <w:pPr>
        <w:numPr>
          <w:ilvl w:val="0"/>
          <w:numId w:val="1001"/>
        </w:numPr>
        <w:pStyle w:val="Compact"/>
      </w:pPr>
      <w:r>
        <w:t xml:space="preserve">Prepare peer-reviewed manuscripts, conference papers, and policy briefs for submission to internationally recognised journals and academic forums.</w:t>
      </w:r>
    </w:p>
    <w:p>
      <w:pPr>
        <w:numPr>
          <w:ilvl w:val="0"/>
          <w:numId w:val="1001"/>
        </w:numPr>
        <w:pStyle w:val="Compact"/>
      </w:pPr>
      <w:r>
        <w:t xml:space="preserve">Coordinate interdisciplinary collaboration with fellow researchers at partner institutions across the Frankfurt Research Triangle (Goethe University, Frankfurt School of Finance and Management, and the European Central Bank research division).</w:t>
      </w:r>
    </w:p>
    <w:p>
      <w:pPr>
        <w:numPr>
          <w:ilvl w:val="0"/>
          <w:numId w:val="1001"/>
        </w:numPr>
        <w:pStyle w:val="Compact"/>
      </w:pPr>
      <w:r>
        <w:t xml:space="preserve">Deliver a minimum of two public research presentations per quarter at academic conferences held in the</w:t>
      </w:r>
      <w:r>
        <w:t xml:space="preserve"> </w:t>
      </w:r>
      <w:r>
        <w:t xml:space="preserve">Germany Frankfurt</w:t>
      </w:r>
      <w:r>
        <w:t xml:space="preserve"> </w:t>
      </w:r>
      <w:r>
        <w:t xml:space="preserve">region or internationally.</w:t>
      </w:r>
    </w:p>
    <w:p>
      <w:pPr>
        <w:numPr>
          <w:ilvl w:val="0"/>
          <w:numId w:val="1001"/>
        </w:numPr>
        <w:pStyle w:val="Compact"/>
      </w:pPr>
      <w:r>
        <w:t xml:space="preserve">Maintain full compliance with the German research data protection standards (DSGVO/GDPR) and the ethical guidelines of the Deutscher Forschungsrat (DFG).</w:t>
      </w:r>
    </w:p>
    <w:bookmarkEnd w:id="24"/>
    <w:bookmarkStart w:id="25" w:name="itemised-cost-breakdown"/>
    <w:p>
      <w:pPr>
        <w:pStyle w:val="Heading3"/>
      </w:pPr>
      <w:r>
        <w:t xml:space="preserve">4. 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Academic Researcher – Senior Research Fellow (PhD, 8+ years post-doctoral experience)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Academic Researcher – Junior Research Associate (MSc, 3+ years research experience)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Research data licensing and database access (JSTOR, SpringerLink, Statista, Destatis)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Conference travel and accommodation within Germany Frankfurt region and EU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events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2,150 / event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Open-access publication fees (4 journal articles)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1,900 / article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and administrative coordination (Frankfurt office)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Equipment and workstation setup (dual monitors, ergonomic furniture, software licences)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 / 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Legal and compliance advisory (German labour law, tax residency, visa support)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10,200.00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(excl.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252,800.00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(19% – Umsatzsteuer)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48,032.00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AMOUNT DUE (incl.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300,832.00</w:t>
            </w:r>
          </w:p>
        </w:tc>
      </w:tr>
    </w:tbl>
    <w:bookmarkEnd w:id="25"/>
    <w:bookmarkStart w:id="26" w:name="payment-terms-and-schedule"/>
    <w:p>
      <w:pPr>
        <w:pStyle w:val="Heading3"/>
      </w:pPr>
      <w:r>
        <w:t xml:space="preserve">5. Payment Terms and Schedule</w:t>
      </w:r>
    </w:p>
    <w:p>
      <w:pPr>
        <w:pStyle w:val="FirstParagraph"/>
      </w:pPr>
      <w:r>
        <w:t xml:space="preserve">Payment for the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quarterly instalments via bank transfer to the account of Frankfurt Academic Consulting GmbH (IBAN: DE89 3704 0044 0532 0130 00, BIC: COBADEFFXXX). The payment schedule is as follows:</w:t>
      </w:r>
    </w:p>
    <w:p>
      <w:pPr>
        <w:numPr>
          <w:ilvl w:val="0"/>
          <w:numId w:val="1002"/>
        </w:numPr>
        <w:pStyle w:val="Compact"/>
      </w:pPr>
      <w:r>
        <w:t xml:space="preserve">25% advance payment upon contract execution (due within 14 calendar days of acceptance).</w:t>
      </w:r>
    </w:p>
    <w:p>
      <w:pPr>
        <w:numPr>
          <w:ilvl w:val="0"/>
          <w:numId w:val="1002"/>
        </w:numPr>
        <w:pStyle w:val="Compact"/>
      </w:pPr>
      <w:r>
        <w:t xml:space="preserve">25% upon completion of the third month of the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engagement.</w:t>
      </w:r>
    </w:p>
    <w:p>
      <w:pPr>
        <w:numPr>
          <w:ilvl w:val="0"/>
          <w:numId w:val="1002"/>
        </w:numPr>
        <w:pStyle w:val="Compact"/>
      </w:pPr>
      <w:r>
        <w:t xml:space="preserve">25% upon completion of the sixth month.</w:t>
      </w:r>
    </w:p>
    <w:p>
      <w:pPr>
        <w:numPr>
          <w:ilvl w:val="0"/>
          <w:numId w:val="1002"/>
        </w:numPr>
        <w:pStyle w:val="Compact"/>
      </w:pPr>
      <w:r>
        <w:t xml:space="preserve">25% upon completion of the twelfth month and final project deliverable submission.</w:t>
      </w:r>
    </w:p>
    <w:p>
      <w:pPr>
        <w:pStyle w:val="FirstParagraph"/>
      </w:pPr>
      <w:r>
        <w:t xml:space="preserve">Overdue payments shall incur interest at the statutory rate pursuant to § 288 of the German Civil Code (BGB). All invoices shall reference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number QTE-2025-FRA-0847.</w:t>
      </w:r>
    </w:p>
    <w:bookmarkEnd w:id="26"/>
    <w:bookmarkStart w:id="27" w:name="terms-and-conditions"/>
    <w:p>
      <w:pPr>
        <w:pStyle w:val="Heading3"/>
      </w:pPr>
      <w:r>
        <w:t xml:space="preserve">6. Terms and Conditions</w:t>
      </w:r>
    </w:p>
    <w:p>
      <w:pPr>
        <w:pStyle w:val="FirstParagraph"/>
      </w:pPr>
      <w:r>
        <w:rPr>
          <w:bCs/>
          <w:b/>
        </w:rPr>
        <w:t xml:space="preserve">6.1 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all rates and terms are subject to revision without prior notice.</w:t>
      </w:r>
    </w:p>
    <w:p>
      <w:pPr>
        <w:pStyle w:val="BodyText"/>
      </w:pPr>
      <w:r>
        <w:rPr>
          <w:bCs/>
          <w:b/>
        </w:rPr>
        <w:t xml:space="preserve">6.2 Intellectual Property:</w:t>
      </w:r>
      <w:r>
        <w:t xml:space="preserve"> </w:t>
      </w:r>
      <w:r>
        <w:t xml:space="preserve">All research outputs, publications, and data generated by the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during the term of engagement shall be jointly owned by the client institution and Frankfurt Academic Consulting GmbH, unless otherwise agreed in a separate intellectual property addendum.</w:t>
      </w:r>
    </w:p>
    <w:p>
      <w:pPr>
        <w:pStyle w:val="BodyText"/>
      </w:pPr>
      <w:r>
        <w:rPr>
          <w:bCs/>
          <w:b/>
        </w:rPr>
        <w:t xml:space="preserve">6.3 Confidentiality:</w:t>
      </w:r>
      <w:r>
        <w:t xml:space="preserve"> </w:t>
      </w:r>
      <w:r>
        <w:t xml:space="preserve">Both parties agree to maintain strict confidentiality regarding all proprietary data, unpublished findings, and internal communications in accordance with German trade secret law (GeschGehG).</w:t>
      </w:r>
    </w:p>
    <w:p>
      <w:pPr>
        <w:pStyle w:val="BodyText"/>
      </w:pPr>
      <w:r>
        <w:rPr>
          <w:bCs/>
          <w:b/>
        </w:rPr>
        <w:t xml:space="preserve">6.4 Termination:</w:t>
      </w:r>
      <w:r>
        <w:t xml:space="preserve"> </w:t>
      </w:r>
      <w:r>
        <w:t xml:space="preserve">Either party may terminate the engagement with a written notice period of sixty (60) days. In the event of early termination, the client shall be liable for all costs incurred up to the termination date plus a 10% administrative surcharge.</w:t>
      </w:r>
    </w:p>
    <w:p>
      <w:pPr>
        <w:pStyle w:val="BodyText"/>
      </w:pPr>
      <w:r>
        <w:rPr>
          <w:bCs/>
          <w:b/>
        </w:rPr>
        <w:t xml:space="preserve">6.5 Governing Law:</w:t>
      </w:r>
      <w:r>
        <w:t xml:space="preserve"> </w:t>
      </w:r>
      <w:r>
        <w:t xml:space="preserve">This agreement and all matters arising from the engagement of the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shall be governed by the laws of the Federal Republic of Germany. Any disputes shall be subject to the exclusive jurisdiction of the competent courts in</w:t>
      </w:r>
      <w:r>
        <w:t xml:space="preserve"> </w:t>
      </w:r>
      <w:r>
        <w:t xml:space="preserve">Germany Frankfurt</w:t>
      </w:r>
      <w:r>
        <w:t xml:space="preserve"> </w:t>
      </w:r>
      <w:r>
        <w:t xml:space="preserve">(Amtsgericht Frankfurt am Main / Landgericht Frankfurt am Main).</w:t>
      </w:r>
    </w:p>
    <w:p>
      <w:pPr>
        <w:pStyle w:val="BodyText"/>
      </w:pPr>
      <w:r>
        <w:rPr>
          <w:bCs/>
          <w:b/>
        </w:rPr>
        <w:t xml:space="preserve">6.6 Data Protection:</w:t>
      </w:r>
      <w:r>
        <w:t xml:space="preserve"> </w:t>
      </w:r>
      <w:r>
        <w:t xml:space="preserve">All personal data processed in connection with this engagement shall be handled in full compliance with the EU General Data Protection Regulation (GDPR/DSGVO) and the German Federal Data Protection Act (BDSG).</w:t>
      </w:r>
    </w:p>
    <w:bookmarkEnd w:id="27"/>
    <w:bookmarkStart w:id="28" w:name="acceptance-and-authorisation"/>
    <w:p>
      <w:pPr>
        <w:pStyle w:val="Heading3"/>
      </w:pPr>
      <w:r>
        <w:t xml:space="preserve">7. Acceptance and Authorisation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cost structure outlined herein for the engagement of the proposed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team in</w:t>
      </w:r>
      <w:r>
        <w:t xml:space="preserve"> </w:t>
      </w:r>
      <w:r>
        <w:t xml:space="preserve">Germany Frankfurt</w:t>
      </w:r>
      <w:r>
        <w:t xml:space="preserve">. This signature constitutes a binding acceptance of the quotation and authorises Frankfurt Academic Consulting GmbH to commence the recruitment and onboarding process immediately.</w:t>
      </w:r>
    </w:p>
    <w:bookmarkEnd w:id="28"/>
    <w:p>
      <w:pPr>
        <w:pStyle w:val="BodyText"/>
      </w:pPr>
      <w:r>
        <w:t xml:space="preserve">For Frankfurt Academic Consulting GmbH</w:t>
      </w:r>
    </w:p>
    <w:p>
      <w:pPr>
        <w:pStyle w:val="BodyText"/>
      </w:pPr>
      <w:r>
        <w:t xml:space="preserve">Dr. Markus Steinbach</w:t>
      </w:r>
    </w:p>
    <w:p>
      <w:pPr>
        <w:pStyle w:val="BodyText"/>
      </w:pPr>
      <w:r>
        <w:t xml:space="preserve">Managing Director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For the Client (Goethe University of Frankfurt)</w:t>
      </w:r>
    </w:p>
    <w:p>
      <w:pPr>
        <w:pStyle w:val="BodyText"/>
      </w:pPr>
      <w:r>
        <w:t xml:space="preserve">Prof. Dr. Helena Brandt</w:t>
      </w:r>
    </w:p>
    <w:p>
      <w:pPr>
        <w:pStyle w:val="BodyText"/>
      </w:pPr>
      <w:r>
        <w:t xml:space="preserve">Head of Research Division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Frankfurt Academic Consulting GmbH | Mainzer Landstraße 142, 60329 Frankfurt am Main, Germany | HRB 98765 Frankfurt am Main</w:t>
      </w:r>
    </w:p>
    <w:p>
      <w:pPr>
        <w:pStyle w:val="BodyText"/>
      </w:pPr>
      <w:r>
        <w:t xml:space="preserve">This Quotation Estimate document was generated electronically and is valid without a physical signature. Ref: QTE-2025-FRA-0847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Academic Researcher - Germany Frankfurt</dc:title>
  <dc:creator/>
  <dc:language>en</dc:language>
  <cp:keywords/>
  <dcterms:created xsi:type="dcterms:W3CDTF">2026-10-10T06:23:43Z</dcterms:created>
  <dcterms:modified xsi:type="dcterms:W3CDTF">2026-10-10T06:23:43Z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