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quotation-estimate"/>
    <w:p>
      <w:pPr>
        <w:pStyle w:val="Heading1"/>
      </w:pPr>
      <w:r>
        <w:t xml:space="preserve">QUOTATION ESTIMATE</w:t>
      </w:r>
    </w:p>
    <w:p>
      <w:pPr>
        <w:pStyle w:val="FirstParagraph"/>
      </w:pPr>
      <w:r>
        <w:rPr>
          <w:bCs/>
          <w:b/>
        </w:rPr>
        <w:t xml:space="preserve">Academic Researcher Services</w:t>
      </w:r>
    </w:p>
    <w:p>
      <w:pPr>
        <w:pStyle w:val="BodyText"/>
      </w:pPr>
      <w:r>
        <w:t xml:space="preserve">Professional Research &amp; Consultancy Division</w:t>
      </w:r>
    </w:p>
    <w:p>
      <w:pPr>
        <w:pStyle w:val="BodyText"/>
      </w:pPr>
      <w:r>
        <w:t xml:space="preserve">Office No. 412, 4th Floor, Trade Centre, Bandra-Kurla Complex, Bandra East,</w:t>
      </w:r>
      <w:r>
        <w:t xml:space="preserve"> </w:t>
      </w:r>
      <w:r>
        <w:rPr>
          <w:bCs/>
          <w:b/>
        </w:rPr>
        <w:t xml:space="preserve">India Mumbai</w:t>
      </w:r>
      <w:r>
        <w:t xml:space="preserve"> </w:t>
      </w:r>
      <w:r>
        <w:t xml:space="preserve">– 400051</w:t>
      </w:r>
    </w:p>
    <w:p>
      <w:pPr>
        <w:pStyle w:val="BodyText"/>
      </w:pPr>
      <w:r>
        <w:t xml:space="preserve">Email: research.services@academicmumbai.in | Phone: +91-22-4055-8890</w:t>
      </w:r>
    </w:p>
    <w:bookmarkEnd w:id="20"/>
    <w:p>
      <w:pPr>
        <w:pStyle w:val="BodyText"/>
      </w:pPr>
      <w:r>
        <w:rPr>
          <w:bCs/>
          <w:b/>
        </w:rPr>
        <w:t xml:space="preserve">Quotation No.:</w:t>
      </w:r>
      <w:r>
        <w:t xml:space="preserve"> </w:t>
      </w:r>
      <w:r>
        <w:t xml:space="preserve">QTE/AR/2025/0047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Dr. Ananya Deshmukh</w:t>
      </w:r>
      <w:r>
        <w:br/>
      </w:r>
      <w:r>
        <w:t xml:space="preserve">Head, Department of Social Sciences</w:t>
      </w:r>
      <w:r>
        <w:br/>
      </w:r>
      <w:r>
        <w:t xml:space="preserve">Mumbai University, Vidyavihar Campus</w:t>
      </w:r>
      <w:r>
        <w:br/>
      </w:r>
      <w:r>
        <w:rPr>
          <w:bCs/>
          <w:b/>
        </w:rPr>
        <w:t xml:space="preserve">India Mumbai</w:t>
      </w:r>
      <w:r>
        <w:t xml:space="preserve"> </w:t>
      </w:r>
      <w:r>
        <w:t xml:space="preserve">– 400064</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our firm to provide a comprehensive and transparent breakdown of costs associated with the engagement of a qualified</w:t>
      </w:r>
      <w:r>
        <w:t xml:space="preserve"> </w:t>
      </w:r>
      <w:r>
        <w:t xml:space="preserve">Academic Researcher</w:t>
      </w:r>
      <w:r>
        <w:t xml:space="preserve"> </w:t>
      </w:r>
      <w:r>
        <w:t xml:space="preserve">for a structured research project commissioned by the Department of Social Sciences, Mumbai University. The scope of this engagement is specifically tailored to the academic, regulatory, and operational environment of</w:t>
      </w:r>
      <w:r>
        <w:t xml:space="preserve"> </w:t>
      </w:r>
      <w:r>
        <w:t xml:space="preserve">India Mumbai</w:t>
      </w:r>
      <w:r>
        <w:t xml:space="preserve">, taking into account local institutional requirements, applicable tax regulations under the Government of India, and the specific research needs of the client. This document serves as a formal proposal and cost estimate, and upon acceptance, it shall form the basis of a binding service agreement between the parties.</w:t>
      </w:r>
    </w:p>
    <w:bookmarkEnd w:id="21"/>
    <w:bookmarkStart w:id="22" w:name="Xbc3cca5d43434a430a0f2d92f9e5020ea4b96a2"/>
    <w:p>
      <w:pPr>
        <w:pStyle w:val="Heading2"/>
      </w:pPr>
      <w:r>
        <w:t xml:space="preserve">2. Scope of Work – Academic Researcher Engagement</w:t>
      </w:r>
    </w:p>
    <w:p>
      <w:pPr>
        <w:pStyle w:val="FirstParagraph"/>
      </w:pPr>
      <w:r>
        <w:t xml:space="preserve">The</w:t>
      </w:r>
      <w:r>
        <w:t xml:space="preserve"> </w:t>
      </w:r>
      <w:r>
        <w:t xml:space="preserve">Academic Researcher</w:t>
      </w:r>
      <w:r>
        <w:t xml:space="preserve"> </w:t>
      </w:r>
      <w:r>
        <w:t xml:space="preserve">to be engaged under this</w:t>
      </w:r>
      <w:r>
        <w:t xml:space="preserve"> </w:t>
      </w:r>
      <w:r>
        <w:t xml:space="preserve">Quotation Estimate</w:t>
      </w:r>
      <w:r>
        <w:t xml:space="preserve"> </w:t>
      </w:r>
      <w:r>
        <w:t xml:space="preserve">shall perform the following duties and deliverables over a period of twelve (12) months, commencing from the date of contract execution: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Sr. No.</w:t>
            </w:r>
          </w:p>
        </w:tc>
        <w:tc>
          <w:tcPr/>
          <w:p>
            <w:pPr>
              <w:pStyle w:val="Compact"/>
              <w:jc w:val="left"/>
            </w:pPr>
            <w:r>
              <w:t xml:space="preserve">Activity / Deliverable</w:t>
            </w:r>
          </w:p>
        </w:tc>
        <w:tc>
          <w:tcPr/>
          <w:p>
            <w:pPr>
              <w:pStyle w:val="Compact"/>
              <w:jc w:val="left"/>
            </w:pPr>
            <w:r>
              <w:t xml:space="preserve">Details</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Literature Review &amp; Research Design</w:t>
            </w:r>
          </w:p>
        </w:tc>
        <w:tc>
          <w:tcPr/>
          <w:p>
            <w:pPr>
              <w:pStyle w:val="Compact"/>
              <w:jc w:val="left"/>
            </w:pPr>
            <w:r>
              <w:t xml:space="preserve">Comprehensive review of existing literature on urban migration patterns in metropolitan India; formulation of a mixed-methods research design.</w:t>
            </w:r>
          </w:p>
        </w:tc>
        <w:tc>
          <w:tcPr/>
          <w:p>
            <w:pPr>
              <w:pStyle w:val="Compact"/>
              <w:jc w:val="left"/>
            </w:pPr>
            <w:r>
              <w:t xml:space="preserve">Months 1–2</w:t>
            </w:r>
          </w:p>
        </w:tc>
      </w:tr>
      <w:tr>
        <w:tc>
          <w:tcPr/>
          <w:p>
            <w:pPr>
              <w:pStyle w:val="Compact"/>
              <w:jc w:val="left"/>
            </w:pPr>
            <w:r>
              <w:t xml:space="preserve">2</w:t>
            </w:r>
          </w:p>
        </w:tc>
        <w:tc>
          <w:tcPr/>
          <w:p>
            <w:pPr>
              <w:pStyle w:val="Compact"/>
              <w:jc w:val="left"/>
            </w:pPr>
            <w:r>
              <w:t xml:space="preserve">Field Data Collection – India Mumbai</w:t>
            </w:r>
          </w:p>
        </w:tc>
        <w:tc>
          <w:tcPr/>
          <w:p>
            <w:pPr>
              <w:pStyle w:val="Compact"/>
              <w:jc w:val="left"/>
            </w:pPr>
            <w:r>
              <w:t xml:space="preserve">Primary data collection through structured surveys, in-depth interviews, and focus group discussions across 12 wards in Mumbai city, covering areas in Mumbai Suburban and Mumbai City districts.</w:t>
            </w:r>
          </w:p>
        </w:tc>
        <w:tc>
          <w:tcPr/>
          <w:p>
            <w:pPr>
              <w:pStyle w:val="Compact"/>
              <w:jc w:val="left"/>
            </w:pPr>
            <w:r>
              <w:t xml:space="preserve">Months 3–6</w:t>
            </w:r>
          </w:p>
        </w:tc>
      </w:tr>
      <w:tr>
        <w:tc>
          <w:tcPr/>
          <w:p>
            <w:pPr>
              <w:pStyle w:val="Compact"/>
              <w:jc w:val="left"/>
            </w:pPr>
            <w:r>
              <w:t xml:space="preserve">3</w:t>
            </w:r>
          </w:p>
        </w:tc>
        <w:tc>
          <w:tcPr/>
          <w:p>
            <w:pPr>
              <w:pStyle w:val="Compact"/>
              <w:jc w:val="left"/>
            </w:pPr>
            <w:r>
              <w:t xml:space="preserve">Data Analysis &amp; Interpretation</w:t>
            </w:r>
          </w:p>
        </w:tc>
        <w:tc>
          <w:tcPr/>
          <w:p>
            <w:pPr>
              <w:pStyle w:val="Compact"/>
              <w:jc w:val="left"/>
            </w:pPr>
            <w:r>
              <w:t xml:space="preserve">Quantitative statistical analysis using SPSS and R; qualitative thematic coding of interview transcripts; triangulation of findings.</w:t>
            </w:r>
          </w:p>
        </w:tc>
        <w:tc>
          <w:tcPr/>
          <w:p>
            <w:pPr>
              <w:pStyle w:val="Compact"/>
              <w:jc w:val="left"/>
            </w:pPr>
            <w:r>
              <w:t xml:space="preserve">Months 7–9</w:t>
            </w:r>
          </w:p>
        </w:tc>
      </w:tr>
      <w:tr>
        <w:tc>
          <w:tcPr/>
          <w:p>
            <w:pPr>
              <w:pStyle w:val="Compact"/>
              <w:jc w:val="left"/>
            </w:pPr>
            <w:r>
              <w:t xml:space="preserve">4</w:t>
            </w:r>
          </w:p>
        </w:tc>
        <w:tc>
          <w:tcPr/>
          <w:p>
            <w:pPr>
              <w:pStyle w:val="Compact"/>
              <w:jc w:val="left"/>
            </w:pPr>
            <w:r>
              <w:t xml:space="preserve">Report Writing &amp; Manuscript Preparation</w:t>
            </w:r>
          </w:p>
        </w:tc>
        <w:tc>
          <w:tcPr/>
          <w:p>
            <w:pPr>
              <w:pStyle w:val="Compact"/>
              <w:jc w:val="left"/>
            </w:pPr>
            <w:r>
              <w:t xml:space="preserve">Preparation of a 150-page research report, two peer-reviewed journal articles, and a policy brief suitable for submission to the Maharashtra State Government.</w:t>
            </w:r>
          </w:p>
        </w:tc>
        <w:tc>
          <w:tcPr/>
          <w:p>
            <w:pPr>
              <w:pStyle w:val="Compact"/>
              <w:jc w:val="left"/>
            </w:pPr>
            <w:r>
              <w:t xml:space="preserve">Months 10–11</w:t>
            </w:r>
          </w:p>
        </w:tc>
      </w:tr>
      <w:tr>
        <w:tc>
          <w:tcPr/>
          <w:p>
            <w:pPr>
              <w:pStyle w:val="Compact"/>
              <w:jc w:val="left"/>
            </w:pPr>
            <w:r>
              <w:t xml:space="preserve">5</w:t>
            </w:r>
          </w:p>
        </w:tc>
        <w:tc>
          <w:tcPr/>
          <w:p>
            <w:pPr>
              <w:pStyle w:val="Compact"/>
              <w:jc w:val="left"/>
            </w:pPr>
            <w:r>
              <w:t xml:space="preserve">Conference Presentation &amp; Dissemination</w:t>
            </w:r>
          </w:p>
        </w:tc>
        <w:tc>
          <w:tcPr/>
          <w:p>
            <w:pPr>
              <w:pStyle w:val="Compact"/>
              <w:jc w:val="left"/>
            </w:pPr>
            <w:r>
              <w:t xml:space="preserve">Presentation of findings at the National Conference on Urban Studies, New Delhi, and a local seminar at Mumbai University,</w:t>
            </w:r>
            <w:r>
              <w:t xml:space="preserve"> </w:t>
            </w:r>
            <w:r>
              <w:rPr>
                <w:bCs/>
                <w:b/>
              </w:rPr>
              <w:t xml:space="preserve">India Mumbai</w:t>
            </w:r>
            <w:r>
              <w:t xml:space="preserve">.</w:t>
            </w:r>
          </w:p>
        </w:tc>
        <w:tc>
          <w:tcPr/>
          <w:p>
            <w:pPr>
              <w:pStyle w:val="Compact"/>
              <w:jc w:val="left"/>
            </w:pPr>
            <w:r>
              <w:t xml:space="preserve">Month 12</w:t>
            </w:r>
          </w:p>
        </w:tc>
      </w:tr>
    </w:tbl>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Quantity</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Academic Researcher – Professional Fee (PhD-qualified, 10+ years experience)</w:t>
            </w:r>
          </w:p>
        </w:tc>
        <w:tc>
          <w:tcPr/>
          <w:p>
            <w:pPr>
              <w:pStyle w:val="Compact"/>
              <w:jc w:val="left"/>
            </w:pPr>
            <w:r>
              <w:t xml:space="preserve">Month</w:t>
            </w:r>
          </w:p>
        </w:tc>
        <w:tc>
          <w:tcPr/>
          <w:p>
            <w:pPr>
              <w:pStyle w:val="Compact"/>
              <w:jc w:val="left"/>
            </w:pPr>
            <w:r>
              <w:t xml:space="preserve">1,85,000</w:t>
            </w:r>
          </w:p>
        </w:tc>
        <w:tc>
          <w:tcPr/>
          <w:p>
            <w:pPr>
              <w:pStyle w:val="Compact"/>
              <w:jc w:val="left"/>
            </w:pPr>
            <w:r>
              <w:t xml:space="preserve">12</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Research Assistant (M.Phil level) – Support Staff</w:t>
            </w:r>
          </w:p>
        </w:tc>
        <w:tc>
          <w:tcPr/>
          <w:p>
            <w:pPr>
              <w:pStyle w:val="Compact"/>
              <w:jc w:val="left"/>
            </w:pPr>
            <w:r>
              <w:t xml:space="preserve">Month</w:t>
            </w:r>
          </w:p>
        </w:tc>
        <w:tc>
          <w:tcPr/>
          <w:p>
            <w:pPr>
              <w:pStyle w:val="Compact"/>
              <w:jc w:val="left"/>
            </w:pPr>
            <w:r>
              <w:t xml:space="preserve">65,000</w:t>
            </w:r>
          </w:p>
        </w:tc>
        <w:tc>
          <w:tcPr/>
          <w:p>
            <w:pPr>
              <w:pStyle w:val="Compact"/>
              <w:jc w:val="left"/>
            </w:pPr>
            <w:r>
              <w:t xml:space="preserve">12</w:t>
            </w:r>
          </w:p>
        </w:tc>
        <w:tc>
          <w:tcPr/>
          <w:p>
            <w:pPr>
              <w:pStyle w:val="Compact"/>
              <w:jc w:val="left"/>
            </w:pPr>
            <w:r>
              <w:t xml:space="preserve">7,80,000</w:t>
            </w:r>
          </w:p>
        </w:tc>
      </w:tr>
      <w:tr>
        <w:tc>
          <w:tcPr/>
          <w:p>
            <w:pPr>
              <w:pStyle w:val="Compact"/>
              <w:jc w:val="left"/>
            </w:pPr>
            <w:r>
              <w:t xml:space="preserve">3</w:t>
            </w:r>
          </w:p>
        </w:tc>
        <w:tc>
          <w:tcPr/>
          <w:p>
            <w:pPr>
              <w:pStyle w:val="Compact"/>
              <w:jc w:val="left"/>
            </w:pPr>
            <w:r>
              <w:t xml:space="preserve">Fieldwork Travel &amp; Logistics within India Mumbai (local transport, accommodation for field teams)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Survey Instruments, Printing &amp; Stationery</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Software Licenses (SPSS, NVivo, R Studio) – Annual</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1</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Transcription &amp; Translation Services (Marathi, Hindi, English)</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1</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Conference Registration, Travel &amp; Accommodation (New Delhi)</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1</w:t>
            </w:r>
          </w:p>
        </w:tc>
        <w:tc>
          <w:tcPr/>
          <w:p>
            <w:pPr>
              <w:pStyle w:val="Compact"/>
              <w:jc w:val="left"/>
            </w:pPr>
            <w:r>
              <w:t xml:space="preserve">85,000</w:t>
            </w:r>
          </w:p>
        </w:tc>
      </w:tr>
      <w:tr>
        <w:tc>
          <w:tcPr/>
          <w:p>
            <w:pPr>
              <w:pStyle w:val="Compact"/>
              <w:jc w:val="left"/>
            </w:pPr>
            <w:r>
              <w:t xml:space="preserve">8</w:t>
            </w:r>
          </w:p>
        </w:tc>
        <w:tc>
          <w:tcPr/>
          <w:p>
            <w:pPr>
              <w:pStyle w:val="Compact"/>
              <w:jc w:val="left"/>
            </w:pPr>
            <w:r>
              <w:t xml:space="preserve">Publication Charges (2 journal articles + 1 policy brief)</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1</w:t>
            </w:r>
          </w:p>
        </w:tc>
        <w:tc>
          <w:tcPr/>
          <w:p>
            <w:pPr>
              <w:pStyle w:val="Compact"/>
              <w:jc w:val="left"/>
            </w:pPr>
            <w:r>
              <w:t xml:space="preserve">1,50,000</w:t>
            </w:r>
          </w:p>
        </w:tc>
      </w:tr>
      <w:tr>
        <w:tc>
          <w:tcPr/>
          <w:p>
            <w:pPr>
              <w:pStyle w:val="Compact"/>
              <w:jc w:val="left"/>
            </w:pPr>
            <w:r>
              <w:t xml:space="preserve">9</w:t>
            </w:r>
          </w:p>
        </w:tc>
        <w:tc>
          <w:tcPr/>
          <w:p>
            <w:pPr>
              <w:pStyle w:val="Compact"/>
              <w:jc w:val="left"/>
            </w:pPr>
            <w:r>
              <w:t xml:space="preserve">Administrative &amp; Overhead Costs (office space, utilities, insurance)</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1</w:t>
            </w:r>
          </w:p>
        </w:tc>
        <w:tc>
          <w:tcPr/>
          <w:p>
            <w:pPr>
              <w:pStyle w:val="Compact"/>
              <w:jc w:val="left"/>
            </w:pPr>
            <w:r>
              <w:t xml:space="preserve">2,20,000</w:t>
            </w:r>
          </w:p>
        </w:tc>
      </w:tr>
      <w:tr>
        <w:tc>
          <w:tcPr/>
          <w:p>
            <w:pPr>
              <w:pStyle w:val="Compact"/>
              <w:jc w:val="left"/>
            </w:pPr>
            <w:r>
              <w:t xml:space="preserve">10</w:t>
            </w:r>
          </w:p>
        </w:tc>
        <w:tc>
          <w:tcPr/>
          <w:p>
            <w:pPr>
              <w:pStyle w:val="Compact"/>
              <w:jc w:val="left"/>
            </w:pPr>
            <w:r>
              <w:t xml:space="preserve">Applicable GST @ 18% (as per Indian tax regulations)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8,37,900</w:t>
            </w:r>
          </w:p>
        </w:tc>
      </w:tr>
      <w:tr>
        <w:tc>
          <w:tcPr>
            <w:gridSpan w:val="5"/>
          </w:tcPr>
          <w:p>
            <w:pPr>
              <w:pStyle w:val="Compact"/>
              <w:jc w:val="left"/>
            </w:pPr>
            <w:r>
              <w:t xml:space="preserve">Grand Total (INR)</w:t>
            </w:r>
          </w:p>
        </w:tc>
        <w:tc>
          <w:tcPr/>
          <w:p>
            <w:pPr>
              <w:pStyle w:val="Compact"/>
              <w:jc w:val="left"/>
            </w:pPr>
            <w:r>
              <w:t xml:space="preserve">40,37,900</w:t>
            </w:r>
          </w:p>
        </w:tc>
      </w:tr>
    </w:tbl>
    <w:p>
      <w:pPr>
        <w:pStyle w:val="BodyText"/>
      </w:pPr>
      <w:r>
        <w:rPr>
          <w:iCs/>
          <w:i/>
        </w:rPr>
        <w:t xml:space="preserve">Grand Total in words: Rupees Forty Lakh Thirty-Seven Thousand Nine Hundred Only (₹40,37,900/-)</w:t>
      </w:r>
    </w:p>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(INR)</w:t>
            </w:r>
          </w:p>
        </w:tc>
        <w:tc>
          <w:tcPr/>
          <w:p>
            <w:pPr>
              <w:pStyle w:val="Compact"/>
              <w:jc w:val="left"/>
            </w:pPr>
            <w:r>
              <w:t xml:space="preserve">Due Date</w:t>
            </w:r>
          </w:p>
        </w:tc>
      </w:tr>
      <w:tr>
        <w:tc>
          <w:tcPr/>
          <w:p>
            <w:pPr>
              <w:pStyle w:val="Compact"/>
              <w:jc w:val="left"/>
            </w:pPr>
            <w:r>
              <w:t xml:space="preserve">Advance (upon signing of agreement)</w:t>
            </w:r>
          </w:p>
        </w:tc>
        <w:tc>
          <w:tcPr/>
          <w:p>
            <w:pPr>
              <w:pStyle w:val="Compact"/>
              <w:jc w:val="left"/>
            </w:pPr>
            <w:r>
              <w:t xml:space="preserve">30%</w:t>
            </w:r>
          </w:p>
        </w:tc>
        <w:tc>
          <w:tcPr/>
          <w:p>
            <w:pPr>
              <w:pStyle w:val="Compact"/>
              <w:jc w:val="left"/>
            </w:pPr>
            <w:r>
              <w:t xml:space="preserve">12,11,370</w:t>
            </w:r>
          </w:p>
        </w:tc>
        <w:tc>
          <w:tcPr/>
          <w:p>
            <w:pPr>
              <w:pStyle w:val="Compact"/>
              <w:jc w:val="left"/>
            </w:pPr>
            <w:r>
              <w:t xml:space="preserve">Within 7 days of acceptance</w:t>
            </w:r>
          </w:p>
        </w:tc>
      </w:tr>
      <w:tr>
        <w:tc>
          <w:tcPr/>
          <w:p>
            <w:pPr>
              <w:pStyle w:val="Compact"/>
              <w:jc w:val="left"/>
            </w:pPr>
            <w:r>
              <w:t xml:space="preserve">Completion of Fieldwork (Month 6)</w:t>
            </w:r>
          </w:p>
        </w:tc>
        <w:tc>
          <w:tcPr/>
          <w:p>
            <w:pPr>
              <w:pStyle w:val="Compact"/>
              <w:jc w:val="left"/>
            </w:pPr>
            <w:r>
              <w:t xml:space="preserve">30%</w:t>
            </w:r>
          </w:p>
        </w:tc>
        <w:tc>
          <w:tcPr/>
          <w:p>
            <w:pPr>
              <w:pStyle w:val="Compact"/>
              <w:jc w:val="left"/>
            </w:pPr>
            <w:r>
              <w:t xml:space="preserve">12,11,370</w:t>
            </w:r>
          </w:p>
        </w:tc>
        <w:tc>
          <w:tcPr/>
          <w:p>
            <w:pPr>
              <w:pStyle w:val="Compact"/>
              <w:jc w:val="left"/>
            </w:pPr>
            <w:r>
              <w:t xml:space="preserve">Within 15 days of fieldwork completion</w:t>
            </w:r>
          </w:p>
        </w:tc>
      </w:tr>
      <w:tr>
        <w:tc>
          <w:tcPr/>
          <w:p>
            <w:pPr>
              <w:pStyle w:val="Compact"/>
              <w:jc w:val="left"/>
            </w:pPr>
            <w:r>
              <w:t xml:space="preserve">Submission of Draft Report (Month 10)</w:t>
            </w:r>
          </w:p>
        </w:tc>
        <w:tc>
          <w:tcPr/>
          <w:p>
            <w:pPr>
              <w:pStyle w:val="Compact"/>
              <w:jc w:val="left"/>
            </w:pPr>
            <w:r>
              <w:t xml:space="preserve">25%</w:t>
            </w:r>
          </w:p>
        </w:tc>
        <w:tc>
          <w:tcPr/>
          <w:p>
            <w:pPr>
              <w:pStyle w:val="Compact"/>
              <w:jc w:val="left"/>
            </w:pPr>
            <w:r>
              <w:t xml:space="preserve">10,09,475</w:t>
            </w:r>
          </w:p>
        </w:tc>
        <w:tc>
          <w:tcPr/>
          <w:p>
            <w:pPr>
              <w:pStyle w:val="Compact"/>
              <w:jc w:val="left"/>
            </w:pPr>
            <w:r>
              <w:t xml:space="preserve">Within 15 days of draft submission</w:t>
            </w:r>
          </w:p>
        </w:tc>
      </w:tr>
      <w:tr>
        <w:tc>
          <w:tcPr/>
          <w:p>
            <w:pPr>
              <w:pStyle w:val="Compact"/>
              <w:jc w:val="left"/>
            </w:pPr>
            <w:r>
              <w:t xml:space="preserve">Final Delivery &amp; Conference Presentation (Month 12)</w:t>
            </w:r>
          </w:p>
        </w:tc>
        <w:tc>
          <w:tcPr/>
          <w:p>
            <w:pPr>
              <w:pStyle w:val="Compact"/>
              <w:jc w:val="left"/>
            </w:pPr>
            <w:r>
              <w:t xml:space="preserve">15%</w:t>
            </w:r>
          </w:p>
        </w:tc>
        <w:tc>
          <w:tcPr/>
          <w:p>
            <w:pPr>
              <w:pStyle w:val="Compact"/>
              <w:jc w:val="left"/>
            </w:pPr>
            <w:r>
              <w:t xml:space="preserve">6,05,685</w:t>
            </w:r>
          </w:p>
        </w:tc>
        <w:tc>
          <w:tcPr/>
          <w:p>
            <w:pPr>
              <w:pStyle w:val="Compact"/>
              <w:jc w:val="left"/>
            </w:pPr>
            <w:r>
              <w:t xml:space="preserve">Within 15 days of final delivery</w:t>
            </w:r>
          </w:p>
        </w:tc>
      </w:tr>
    </w:tbl>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Beyond this period, rates may be revised to reflect changes in market conditions, exchange rates, or regulatory requirements in</w:t>
      </w:r>
      <w:r>
        <w:t xml:space="preserve"> </w:t>
      </w:r>
      <w:r>
        <w:t xml:space="preserve">India Mumbai</w:t>
      </w:r>
      <w:r>
        <w:t xml:space="preserve">.</w:t>
      </w:r>
    </w:p>
    <w:p>
      <w:pPr>
        <w:numPr>
          <w:ilvl w:val="0"/>
          <w:numId w:val="1001"/>
        </w:numPr>
        <w:pStyle w:val="Compact"/>
      </w:pPr>
      <w:r>
        <w:t xml:space="preserve">The</w:t>
      </w:r>
      <w:r>
        <w:t xml:space="preserve"> </w:t>
      </w:r>
      <w:r>
        <w:t xml:space="preserve">Academic Researcher</w:t>
      </w:r>
      <w:r>
        <w:t xml:space="preserve"> </w:t>
      </w:r>
      <w:r>
        <w:t xml:space="preserve">engaged shall be bound by a strict confidentiality and non-disclosure agreement. All raw data, preliminary findings, and unpublished manuscripts shall remain the exclusive intellectual property of the client institution.</w:t>
      </w:r>
    </w:p>
    <w:p>
      <w:pPr>
        <w:numPr>
          <w:ilvl w:val="0"/>
          <w:numId w:val="1001"/>
        </w:numPr>
        <w:pStyle w:val="Compact"/>
      </w:pPr>
      <w:r>
        <w:t xml:space="preserve">All work shall be conducted in compliance with the University Grants Commission (UGC) guidelines, the Indian Council of Social Science Research (ICSSR) ethical standards, and the applicable provisions of the Indian Copyright Act, 1957.</w:t>
      </w:r>
    </w:p>
    <w:p>
      <w:pPr>
        <w:numPr>
          <w:ilvl w:val="0"/>
          <w:numId w:val="1001"/>
        </w:numPr>
        <w:pStyle w:val="Compact"/>
      </w:pPr>
      <w:r>
        <w:t xml:space="preserve">Any change in scope, additional fieldwork locations beyond the 12 wards specified in</w:t>
      </w:r>
      <w:r>
        <w:t xml:space="preserve"> </w:t>
      </w:r>
      <w:r>
        <w:t xml:space="preserve">India Mumbai</w:t>
      </w:r>
      <w:r>
        <w:t xml:space="preserve">, or extension of the project timeline shall be subject to a supplementary</w:t>
      </w:r>
      <w:r>
        <w:t xml:space="preserve"> </w:t>
      </w:r>
      <w:r>
        <w:t xml:space="preserve">Quotation Estimate</w:t>
      </w:r>
      <w:r>
        <w:t xml:space="preserve"> </w:t>
      </w:r>
      <w:r>
        <w:t xml:space="preserve">and mutual written consent.</w:t>
      </w:r>
    </w:p>
    <w:p>
      <w:pPr>
        <w:numPr>
          <w:ilvl w:val="0"/>
          <w:numId w:val="1001"/>
        </w:numPr>
        <w:pStyle w:val="Compact"/>
      </w:pPr>
      <w:r>
        <w:t xml:space="preserve">Payment shall be made via bank transfer to the account designated in the service agreement. Late payments shall attract interest at the rate of 1.5% per month as per Indian commercial practice.</w:t>
      </w:r>
    </w:p>
    <w:p>
      <w:pPr>
        <w:numPr>
          <w:ilvl w:val="0"/>
          <w:numId w:val="1001"/>
        </w:numPr>
        <w:pStyle w:val="Compact"/>
      </w:pPr>
      <w:r>
        <w:t xml:space="preserve">The</w:t>
      </w:r>
      <w:r>
        <w:t xml:space="preserve"> </w:t>
      </w:r>
      <w:r>
        <w:t xml:space="preserve">Academic Researcher</w:t>
      </w:r>
      <w:r>
        <w:t xml:space="preserve"> </w:t>
      </w:r>
      <w:r>
        <w:t xml:space="preserve">shall submit monthly progress reports to the client. A mid-project review meeting shall be conducted at the end of Month 6 at the client's premises in Mumbai.</w:t>
      </w:r>
    </w:p>
    <w:p>
      <w:pPr>
        <w:numPr>
          <w:ilvl w:val="0"/>
          <w:numId w:val="1001"/>
        </w:numPr>
        <w:pStyle w:val="Compact"/>
      </w:pPr>
      <w:r>
        <w:t xml:space="preserve">This engagement is governed by the laws of India, and any disputes shall be subject to the exclusive jurisdiction of the competent courts in</w:t>
      </w:r>
      <w:r>
        <w:t xml:space="preserve"> </w:t>
      </w:r>
      <w:r>
        <w:t xml:space="preserve">India Mumbai</w:t>
      </w:r>
      <w:r>
        <w:t xml:space="preserve">.</w:t>
      </w:r>
    </w:p>
    <w:p>
      <w:pPr>
        <w:numPr>
          <w:ilvl w:val="0"/>
          <w:numId w:val="1001"/>
        </w:numPr>
        <w:pStyle w:val="Compact"/>
      </w:pPr>
      <w:r>
        <w:t xml:space="preserve">Taxes: All amounts are inclusive of applicable Goods and Services Tax (GST) as per the prevailing rates notified by the Government of India. TDS, if applicable, shall be deducted by the client as per the Income Tax Act, 1961.</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cost structure outlined herein for the engagement of the</w:t>
      </w:r>
      <w:r>
        <w:t xml:space="preserve"> </w:t>
      </w:r>
      <w:r>
        <w:t xml:space="preserve">Academic Researcher</w:t>
      </w:r>
      <w:r>
        <w:t xml:space="preserve"> </w:t>
      </w:r>
      <w:r>
        <w:t xml:space="preserve">for the specified research project in</w:t>
      </w:r>
      <w:r>
        <w:t xml:space="preserve"> </w:t>
      </w:r>
      <w:r>
        <w:t xml:space="preserve">India Mumbai</w:t>
      </w:r>
      <w:r>
        <w:t xml:space="preserve">. This acceptance shall be deemed a formal order and shall trigger the execution of the detailed service agreement within seven (7) working days.</w:t>
      </w:r>
    </w:p>
    <w:p>
      <w:pPr>
        <w:pStyle w:val="BodyText"/>
      </w:pPr>
      <w:r>
        <w:rPr>
          <w:bCs/>
          <w:b/>
        </w:rPr>
        <w:t xml:space="preserve">For and on behalf of the Client</w:t>
      </w:r>
      <w:r>
        <w:br/>
      </w:r>
      <w:r>
        <w:t xml:space="preserve">Dr. Ananya Deshmukh</w:t>
      </w:r>
      <w:r>
        <w:br/>
      </w:r>
      <w:r>
        <w:t xml:space="preserve">Head, Dept. of Social Sciences</w:t>
      </w:r>
      <w:r>
        <w:br/>
      </w:r>
      <w:r>
        <w:t xml:space="preserve">Mumbai University, India Mumbai</w:t>
      </w:r>
      <w:r>
        <w:br/>
      </w:r>
      <w:r>
        <w:t xml:space="preserve">Date: _______________</w:t>
      </w:r>
    </w:p>
    <w:p>
      <w:pPr>
        <w:pStyle w:val="BodyText"/>
      </w:pPr>
      <w:r>
        <w:rPr>
          <w:bCs/>
          <w:b/>
        </w:rPr>
        <w:t xml:space="preserve">For and on behalf of the Service Provider</w:t>
      </w:r>
      <w:r>
        <w:br/>
      </w:r>
      <w:r>
        <w:t xml:space="preserve">Prof. Rajiv Kulkarni</w:t>
      </w:r>
      <w:r>
        <w:br/>
      </w:r>
      <w:r>
        <w:t xml:space="preserve">Director, Research &amp; Consultancy Division</w:t>
      </w:r>
      <w:r>
        <w:br/>
      </w:r>
      <w:r>
        <w:t xml:space="preserve">India Mumbai</w:t>
      </w:r>
      <w:r>
        <w:br/>
      </w:r>
      <w:r>
        <w:t xml:space="preserve">Date: _______________</w:t>
      </w:r>
    </w:p>
    <w:p>
      <w:pPr>
        <w:pStyle w:val="BodyText"/>
      </w:pPr>
      <w:r>
        <w:t xml:space="preserve">This Quotation Estimate is a confidential document intended solely for the named recipient. Unauthorized reproduction or distribution is prohibited.</w:t>
      </w:r>
    </w:p>
    <w:p>
      <w:pPr>
        <w:pStyle w:val="BodyText"/>
      </w:pPr>
      <w:r>
        <w:t xml:space="preserve">Document Ref: QTE/AR/2025/0047 | Generated on 15 June 2025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India Mumbai</dc:title>
  <dc:creator/>
  <dc:language>en</dc:language>
  <cp:keywords/>
  <dcterms:created xsi:type="dcterms:W3CDTF">2026-10-10T09:53:01Z</dcterms:created>
  <dcterms:modified xsi:type="dcterms:W3CDTF">2026-10-10T09:53:01Z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