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Academic Researcher Services — Iran Tehran</w:t>
      </w:r>
    </w:p>
    <w:p>
      <w:pPr>
        <w:pStyle w:val="BodyText"/>
      </w:pPr>
      <w:r>
        <w:t xml:space="preserve">Document Reference: QE-IR-TRH-2025-0472 | Issued in Tehran, Islamic Republic of Iran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QE-IR-TRH-2025-0472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Farzad Mohammadi, Senior Academic Researcher — Tehran University Research Consortium</w:t>
            </w:r>
          </w:p>
        </w:tc>
      </w:tr>
      <w:tr>
        <w:tc>
          <w:tcPr/>
          <w:p>
            <w:pPr>
              <w:pStyle w:val="Compact"/>
              <w:jc w:val="left"/>
            </w:pPr>
            <w:r>
              <w:t xml:space="preserve">Prepared For</w:t>
            </w:r>
          </w:p>
        </w:tc>
        <w:tc>
          <w:tcPr/>
          <w:p>
            <w:pPr>
              <w:pStyle w:val="Compact"/>
              <w:jc w:val="left"/>
            </w:pPr>
            <w:r>
              <w:t xml:space="preserve">[Client Name / Organization], Tehran, Iran</w:t>
            </w:r>
          </w:p>
        </w:tc>
      </w:tr>
      <w:tr>
        <w:tc>
          <w:tcPr/>
          <w:p>
            <w:pPr>
              <w:pStyle w:val="Compact"/>
              <w:jc w:val="left"/>
            </w:pPr>
            <w:r>
              <w:t xml:space="preserve">Project Location</w:t>
            </w:r>
          </w:p>
        </w:tc>
        <w:tc>
          <w:tcPr/>
          <w:p>
            <w:pPr>
              <w:pStyle w:val="Compact"/>
              <w:jc w:val="left"/>
            </w:pPr>
            <w:r>
              <w:t xml:space="preserve">Tehran, Islamic Republic of Iran (Primary); Remote collaboration available</w:t>
            </w:r>
          </w:p>
        </w:tc>
      </w:tr>
      <w:tr>
        <w:tc>
          <w:tcPr/>
          <w:p>
            <w:pPr>
              <w:pStyle w:val="Compact"/>
              <w:jc w:val="left"/>
            </w:pPr>
            <w:r>
              <w:t xml:space="preserve">Currency</w:t>
            </w:r>
          </w:p>
        </w:tc>
        <w:tc>
          <w:tcPr/>
          <w:p>
            <w:pPr>
              <w:pStyle w:val="Compact"/>
              <w:jc w:val="left"/>
            </w:pPr>
            <w:r>
              <w:t xml:space="preserve">Iranian Rial (IRR) / US Dollar (USD) equivalent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financial projection for the engagement of a qualified</w:t>
      </w:r>
      <w:r>
        <w:t xml:space="preserve"> </w:t>
      </w:r>
      <w:r>
        <w:t xml:space="preserve">Academic Researcher</w:t>
      </w:r>
      <w:r>
        <w:t xml:space="preserve"> </w:t>
      </w:r>
      <w:r>
        <w:t xml:space="preserve">to conduct specialized research activities within the academic and institutional framework of</w:t>
      </w:r>
      <w:r>
        <w:t xml:space="preserve"> </w:t>
      </w:r>
      <w:r>
        <w:t xml:space="preserve">Iran Tehran</w:t>
      </w:r>
      <w:r>
        <w:t xml:space="preserve">. The scope encompasses literature review, empirical data collection, statistical analysis, manuscript drafting, and peer-review preparation for a research project commissioned by the client. All services described herein are to be delivered in accordance with the academic standards recognized by the Ministry of Science, Research and Technology of the Islamic Republic of Iran and the ethical guidelines of the Tehran University Research Ethics Committee.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&amp; Research Design Development</w:t>
            </w:r>
          </w:p>
        </w:tc>
        <w:tc>
          <w:tcPr/>
          <w:p>
            <w:pPr>
              <w:pStyle w:val="Compact"/>
              <w:jc w:val="left"/>
            </w:pPr>
            <w:r>
              <w:t xml:space="preserve">2 weeks</w:t>
            </w:r>
          </w:p>
        </w:tc>
        <w:tc>
          <w:tcPr/>
          <w:p>
            <w:pPr>
              <w:pStyle w:val="Compact"/>
              <w:jc w:val="left"/>
            </w:pPr>
            <w:r>
              <w:t xml:space="preserve">$1,200</w:t>
            </w:r>
          </w:p>
        </w:tc>
        <w:tc>
          <w:tcPr/>
          <w:p>
            <w:pPr>
              <w:pStyle w:val="Compact"/>
              <w:jc w:val="left"/>
            </w:pPr>
            <w:r>
              <w:t xml:space="preserve">$2,400</w:t>
            </w:r>
          </w:p>
        </w:tc>
        <w:tc>
          <w:tcPr/>
          <w:p>
            <w:pPr>
              <w:pStyle w:val="Compact"/>
              <w:jc w:val="left"/>
            </w:pPr>
            <w:r>
              <w:t xml:space="preserve">Conducted in Tehran office</w:t>
            </w:r>
          </w:p>
        </w:tc>
      </w:tr>
      <w:tr>
        <w:tc>
          <w:tcPr/>
          <w:p>
            <w:pPr>
              <w:pStyle w:val="Compact"/>
              <w:jc w:val="left"/>
            </w:pPr>
            <w:r>
              <w:t xml:space="preserve">2</w:t>
            </w:r>
          </w:p>
        </w:tc>
        <w:tc>
          <w:tcPr/>
          <w:p>
            <w:pPr>
              <w:pStyle w:val="Compact"/>
              <w:jc w:val="left"/>
            </w:pPr>
            <w:r>
              <w:t xml:space="preserve">Comprehensive Literature Review (Persian &amp; English sources)</w:t>
            </w:r>
          </w:p>
        </w:tc>
        <w:tc>
          <w:tcPr/>
          <w:p>
            <w:pPr>
              <w:pStyle w:val="Compact"/>
              <w:jc w:val="left"/>
            </w:pPr>
            <w:r>
              <w:t xml:space="preserve">4 weeks</w:t>
            </w:r>
          </w:p>
        </w:tc>
        <w:tc>
          <w:tcPr/>
          <w:p>
            <w:pPr>
              <w:pStyle w:val="Compact"/>
              <w:jc w:val="left"/>
            </w:pPr>
            <w:r>
              <w:t xml:space="preserve">$1,500</w:t>
            </w:r>
          </w:p>
        </w:tc>
        <w:tc>
          <w:tcPr/>
          <w:p>
            <w:pPr>
              <w:pStyle w:val="Compact"/>
              <w:jc w:val="left"/>
            </w:pPr>
            <w:r>
              <w:t xml:space="preserve">$6,000</w:t>
            </w:r>
          </w:p>
        </w:tc>
        <w:tc>
          <w:tcPr/>
          <w:p>
            <w:pPr>
              <w:pStyle w:val="Compact"/>
              <w:jc w:val="left"/>
            </w:pPr>
            <w:r>
              <w:t xml:space="preserve">Includes access to SID, Magiran, Scopus</w:t>
            </w:r>
          </w:p>
        </w:tc>
      </w:tr>
      <w:tr>
        <w:tc>
          <w:tcPr/>
          <w:p>
            <w:pPr>
              <w:pStyle w:val="Compact"/>
              <w:jc w:val="left"/>
            </w:pPr>
            <w:r>
              <w:t xml:space="preserve">3</w:t>
            </w:r>
          </w:p>
        </w:tc>
        <w:tc>
          <w:tcPr/>
          <w:p>
            <w:pPr>
              <w:pStyle w:val="Compact"/>
              <w:jc w:val="left"/>
            </w:pPr>
            <w:r>
              <w:t xml:space="preserve">Empirical Data Collection &amp; Fieldwork in Tehran</w:t>
            </w:r>
          </w:p>
        </w:tc>
        <w:tc>
          <w:tcPr/>
          <w:p>
            <w:pPr>
              <w:pStyle w:val="Compact"/>
              <w:jc w:val="left"/>
            </w:pPr>
            <w:r>
              <w:t xml:space="preserve">6 weeks</w:t>
            </w:r>
          </w:p>
        </w:tc>
        <w:tc>
          <w:tcPr/>
          <w:p>
            <w:pPr>
              <w:pStyle w:val="Compact"/>
              <w:jc w:val="left"/>
            </w:pPr>
            <w:r>
              <w:t xml:space="preserve">$2,000</w:t>
            </w:r>
          </w:p>
        </w:tc>
        <w:tc>
          <w:tcPr/>
          <w:p>
            <w:pPr>
              <w:pStyle w:val="Compact"/>
              <w:jc w:val="left"/>
            </w:pPr>
            <w:r>
              <w:t xml:space="preserve">$12,000</w:t>
            </w:r>
          </w:p>
        </w:tc>
        <w:tc>
          <w:tcPr/>
          <w:p>
            <w:pPr>
              <w:pStyle w:val="Compact"/>
              <w:jc w:val="left"/>
            </w:pPr>
            <w:r>
              <w:t xml:space="preserve">Surveys, interviews, lab access</w:t>
            </w:r>
          </w:p>
        </w:tc>
      </w:tr>
      <w:tr>
        <w:tc>
          <w:tcPr/>
          <w:p>
            <w:pPr>
              <w:pStyle w:val="Compact"/>
              <w:jc w:val="left"/>
            </w:pPr>
            <w:r>
              <w:t xml:space="preserve">4</w:t>
            </w:r>
          </w:p>
        </w:tc>
        <w:tc>
          <w:tcPr/>
          <w:p>
            <w:pPr>
              <w:pStyle w:val="Compact"/>
              <w:jc w:val="left"/>
            </w:pPr>
            <w:r>
              <w:t xml:space="preserve">Statistical Analysis &amp; Data Interpretation</w:t>
            </w:r>
          </w:p>
        </w:tc>
        <w:tc>
          <w:tcPr/>
          <w:p>
            <w:pPr>
              <w:pStyle w:val="Compact"/>
              <w:jc w:val="left"/>
            </w:pPr>
            <w:r>
              <w:t xml:space="preserve">3 weeks</w:t>
            </w:r>
          </w:p>
        </w:tc>
        <w:tc>
          <w:tcPr/>
          <w:p>
            <w:pPr>
              <w:pStyle w:val="Compact"/>
              <w:jc w:val="left"/>
            </w:pPr>
            <w:r>
              <w:t xml:space="preserve">$1,800</w:t>
            </w:r>
          </w:p>
        </w:tc>
        <w:tc>
          <w:tcPr/>
          <w:p>
            <w:pPr>
              <w:pStyle w:val="Compact"/>
              <w:jc w:val="left"/>
            </w:pPr>
            <w:r>
              <w:t xml:space="preserve">$5,400</w:t>
            </w:r>
          </w:p>
        </w:tc>
        <w:tc>
          <w:tcPr/>
          <w:p>
            <w:pPr>
              <w:pStyle w:val="Compact"/>
              <w:jc w:val="left"/>
            </w:pPr>
            <w:r>
              <w:t xml:space="preserve">SPSS, R, AMOS software</w:t>
            </w:r>
          </w:p>
        </w:tc>
      </w:tr>
      <w:tr>
        <w:tc>
          <w:tcPr/>
          <w:p>
            <w:pPr>
              <w:pStyle w:val="Compact"/>
              <w:jc w:val="left"/>
            </w:pPr>
            <w:r>
              <w:t xml:space="preserve">5</w:t>
            </w:r>
          </w:p>
        </w:tc>
        <w:tc>
          <w:tcPr/>
          <w:p>
            <w:pPr>
              <w:pStyle w:val="Compact"/>
              <w:jc w:val="left"/>
            </w:pPr>
            <w:r>
              <w:t xml:space="preserve">Manuscript Drafting &amp; Revision (3 rounds)</w:t>
            </w:r>
          </w:p>
        </w:tc>
        <w:tc>
          <w:tcPr/>
          <w:p>
            <w:pPr>
              <w:pStyle w:val="Compact"/>
              <w:jc w:val="left"/>
            </w:pPr>
            <w:r>
              <w:t xml:space="preserve">5 weeks</w:t>
            </w:r>
          </w:p>
        </w:tc>
        <w:tc>
          <w:tcPr/>
          <w:p>
            <w:pPr>
              <w:pStyle w:val="Compact"/>
              <w:jc w:val="left"/>
            </w:pPr>
            <w:r>
              <w:t xml:space="preserve">$1,600</w:t>
            </w:r>
          </w:p>
        </w:tc>
        <w:tc>
          <w:tcPr/>
          <w:p>
            <w:pPr>
              <w:pStyle w:val="Compact"/>
              <w:jc w:val="left"/>
            </w:pPr>
            <w:r>
              <w:t xml:space="preserve">$8,000</w:t>
            </w:r>
          </w:p>
        </w:tc>
        <w:tc>
          <w:tcPr/>
          <w:p>
            <w:pPr>
              <w:pStyle w:val="Compact"/>
              <w:jc w:val="left"/>
            </w:pPr>
            <w:r>
              <w:t xml:space="preserve">Target: Q1/Q2 indexed journal</w:t>
            </w:r>
          </w:p>
        </w:tc>
      </w:tr>
      <w:tr>
        <w:tc>
          <w:tcPr/>
          <w:p>
            <w:pPr>
              <w:pStyle w:val="Compact"/>
              <w:jc w:val="left"/>
            </w:pPr>
            <w:r>
              <w:t xml:space="preserve">6</w:t>
            </w:r>
          </w:p>
        </w:tc>
        <w:tc>
          <w:tcPr/>
          <w:p>
            <w:pPr>
              <w:pStyle w:val="Compact"/>
              <w:jc w:val="left"/>
            </w:pPr>
            <w:r>
              <w:t xml:space="preserve">Peer-Review Response &amp; Final Submission Support</w:t>
            </w:r>
          </w:p>
        </w:tc>
        <w:tc>
          <w:tcPr/>
          <w:p>
            <w:pPr>
              <w:pStyle w:val="Compact"/>
              <w:jc w:val="left"/>
            </w:pPr>
            <w:r>
              <w:t xml:space="preserve">3 weeks</w:t>
            </w:r>
          </w:p>
        </w:tc>
        <w:tc>
          <w:tcPr/>
          <w:p>
            <w:pPr>
              <w:pStyle w:val="Compact"/>
              <w:jc w:val="left"/>
            </w:pPr>
            <w:r>
              <w:t xml:space="preserve">$1,400</w:t>
            </w:r>
          </w:p>
        </w:tc>
        <w:tc>
          <w:tcPr/>
          <w:p>
            <w:pPr>
              <w:pStyle w:val="Compact"/>
              <w:jc w:val="left"/>
            </w:pPr>
            <w:r>
              <w:t xml:space="preserve">$4,200</w:t>
            </w:r>
          </w:p>
        </w:tc>
        <w:tc>
          <w:tcPr/>
          <w:p>
            <w:pPr>
              <w:pStyle w:val="Compact"/>
              <w:jc w:val="left"/>
            </w:pPr>
            <w:r>
              <w:t xml:space="preserve">Includes editorial formatting</w:t>
            </w:r>
          </w:p>
        </w:tc>
      </w:tr>
      <w:tr>
        <w:tc>
          <w:tcPr/>
          <w:p>
            <w:pPr>
              <w:pStyle w:val="Compact"/>
              <w:jc w:val="left"/>
            </w:pPr>
            <w:r>
              <w:t xml:space="preserve">7</w:t>
            </w:r>
          </w:p>
        </w:tc>
        <w:tc>
          <w:tcPr/>
          <w:p>
            <w:pPr>
              <w:pStyle w:val="Compact"/>
              <w:jc w:val="left"/>
            </w:pPr>
            <w:r>
              <w:t xml:space="preserve">Project Management &amp; Weekly Progress Reporting</w:t>
            </w:r>
          </w:p>
        </w:tc>
        <w:tc>
          <w:tcPr/>
          <w:p>
            <w:pPr>
              <w:pStyle w:val="Compact"/>
              <w:jc w:val="left"/>
            </w:pPr>
            <w:r>
              <w:t xml:space="preserve">23 weeks</w:t>
            </w:r>
          </w:p>
        </w:tc>
        <w:tc>
          <w:tcPr/>
          <w:p>
            <w:pPr>
              <w:pStyle w:val="Compact"/>
              <w:jc w:val="left"/>
            </w:pPr>
            <w:r>
              <w:t xml:space="preserve">$300</w:t>
            </w:r>
          </w:p>
        </w:tc>
        <w:tc>
          <w:tcPr/>
          <w:p>
            <w:pPr>
              <w:pStyle w:val="Compact"/>
              <w:jc w:val="left"/>
            </w:pPr>
            <w:r>
              <w:t xml:space="preserve">$6,900</w:t>
            </w:r>
          </w:p>
        </w:tc>
        <w:tc>
          <w:tcPr/>
          <w:p>
            <w:pPr>
              <w:pStyle w:val="Compact"/>
              <w:jc w:val="left"/>
            </w:pPr>
            <w:r>
              <w:t xml:space="preserve">Bi-weekly in-person meetings in Tehran</w:t>
            </w:r>
          </w:p>
        </w:tc>
      </w:tr>
      <w:tr>
        <w:tc>
          <w:tcPr/>
          <w:p>
            <w:pPr>
              <w:pStyle w:val="Compact"/>
              <w:jc w:val="left"/>
            </w:pPr>
            <w:r>
              <w:t xml:space="preserve">8</w:t>
            </w:r>
          </w:p>
        </w:tc>
        <w:tc>
          <w:tcPr/>
          <w:p>
            <w:pPr>
              <w:pStyle w:val="Compact"/>
              <w:jc w:val="left"/>
            </w:pPr>
            <w:r>
              <w:t xml:space="preserve">Publication Fees &amp; Institutional Access Charges</w:t>
            </w:r>
          </w:p>
        </w:tc>
        <w:tc>
          <w:tcPr/>
          <w:p>
            <w:pPr>
              <w:pStyle w:val="Compact"/>
              <w:jc w:val="left"/>
            </w:pPr>
            <w:r>
              <w:t xml:space="preserve">—</w:t>
            </w:r>
          </w:p>
        </w:tc>
        <w:tc>
          <w:tcPr/>
          <w:p>
            <w:pPr>
              <w:pStyle w:val="Compact"/>
              <w:jc w:val="left"/>
            </w:pPr>
            <w:r>
              <w:t xml:space="preserve">—</w:t>
            </w:r>
          </w:p>
        </w:tc>
        <w:tc>
          <w:tcPr/>
          <w:p>
            <w:pPr>
              <w:pStyle w:val="Compact"/>
              <w:jc w:val="left"/>
            </w:pPr>
            <w:r>
              <w:t xml:space="preserve">$3,500</w:t>
            </w:r>
          </w:p>
        </w:tc>
        <w:tc>
          <w:tcPr/>
          <w:p>
            <w:pPr>
              <w:pStyle w:val="Compact"/>
              <w:jc w:val="left"/>
            </w:pPr>
            <w:r>
              <w:t xml:space="preserve">APC, database subscriptions</w:t>
            </w:r>
          </w:p>
        </w:tc>
      </w:tr>
      <w:tr>
        <w:tc>
          <w:tcPr>
            <w:gridSpan w:val="4"/>
          </w:tcPr>
          <w:p>
            <w:pPr>
              <w:pStyle w:val="Compact"/>
              <w:jc w:val="left"/>
            </w:pPr>
            <w:r>
              <w:t xml:space="preserve">SUBTOTAL</w:t>
            </w:r>
          </w:p>
        </w:tc>
        <w:tc>
          <w:tcPr/>
          <w:p>
            <w:pPr>
              <w:pStyle w:val="Compact"/>
              <w:jc w:val="left"/>
            </w:pPr>
            <w:r>
              <w:t xml:space="preserve">$48,400</w:t>
            </w:r>
          </w:p>
        </w:tc>
        <w:tc>
          <w:tcPr/>
          <w:p>
            <w:pPr>
              <w:pStyle w:val="Compact"/>
            </w:pPr>
          </w:p>
        </w:tc>
      </w:tr>
      <w:tr>
        <w:tc>
          <w:tcPr>
            <w:gridSpan w:val="4"/>
          </w:tcPr>
          <w:p>
            <w:pPr>
              <w:pStyle w:val="Compact"/>
              <w:jc w:val="left"/>
            </w:pPr>
            <w:r>
              <w:t xml:space="preserve">VAT / Applicable Tax (9%)</w:t>
            </w:r>
          </w:p>
        </w:tc>
        <w:tc>
          <w:tcPr/>
          <w:p>
            <w:pPr>
              <w:pStyle w:val="Compact"/>
              <w:jc w:val="left"/>
            </w:pPr>
            <w:r>
              <w:t xml:space="preserve">$4,356</w:t>
            </w:r>
          </w:p>
        </w:tc>
        <w:tc>
          <w:tcPr/>
          <w:p>
            <w:pPr>
              <w:pStyle w:val="Compact"/>
              <w:jc w:val="left"/>
            </w:pPr>
            <w:r>
              <w:t xml:space="preserve">Per Iranian tax regulations</w:t>
            </w:r>
          </w:p>
        </w:tc>
      </w:tr>
      <w:tr>
        <w:tc>
          <w:tcPr>
            <w:gridSpan w:val="4"/>
          </w:tcPr>
          <w:p>
            <w:pPr>
              <w:pStyle w:val="Compact"/>
              <w:jc w:val="left"/>
            </w:pPr>
            <w:r>
              <w:t xml:space="preserve">GRAND TOTAL</w:t>
            </w:r>
          </w:p>
        </w:tc>
        <w:tc>
          <w:tcPr/>
          <w:p>
            <w:pPr>
              <w:pStyle w:val="Compact"/>
              <w:jc w:val="left"/>
            </w:pPr>
            <w:r>
              <w:t xml:space="preserve">$52,756</w:t>
            </w:r>
          </w:p>
        </w:tc>
        <w:tc>
          <w:tcPr/>
          <w:p>
            <w:pPr>
              <w:pStyle w:val="Compact"/>
              <w:jc w:val="left"/>
            </w:pPr>
            <w:r>
              <w:t xml:space="preserve">≈ 2,371,518,000 IRR</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Any engagement beyond this period requires a revised Quotation Estimate reflecting current market rates in Iran Tehran.</w:t>
      </w:r>
    </w:p>
    <w:p>
      <w:pPr>
        <w:numPr>
          <w:ilvl w:val="0"/>
          <w:numId w:val="1001"/>
        </w:numPr>
        <w:pStyle w:val="Compact"/>
      </w:pPr>
      <w:r>
        <w:rPr>
          <w:bCs/>
          <w:b/>
        </w:rPr>
        <w:t xml:space="preserve">Payment Schedule:</w:t>
      </w:r>
      <w:r>
        <w:t xml:space="preserve"> </w:t>
      </w:r>
      <w:r>
        <w:t xml:space="preserve">30% advance upon acceptance; 40% upon completion of data collection (Milestone 3); 30% upon final manuscript delivery. Payments shall be made via bank transfer to the designated account at Bank Melli, Tehran branch, or through an internationally recognized escrow service.</w:t>
      </w:r>
    </w:p>
    <w:p>
      <w:pPr>
        <w:numPr>
          <w:ilvl w:val="0"/>
          <w:numId w:val="1001"/>
        </w:numPr>
        <w:pStyle w:val="Compact"/>
      </w:pPr>
      <w:r>
        <w:rPr>
          <w:bCs/>
          <w:b/>
        </w:rPr>
        <w:t xml:space="preserve">Academic Integrity:</w:t>
      </w:r>
      <w:r>
        <w:t xml:space="preserve"> </w:t>
      </w:r>
      <w:r>
        <w:t xml:space="preserve">The Academic Researcher guarantees full originality of all work. Plagiarism, data fabrication, or ethical violations will result in immediate contract termination and full refund of the affected milestone payment.</w:t>
      </w:r>
    </w:p>
    <w:p>
      <w:pPr>
        <w:numPr>
          <w:ilvl w:val="0"/>
          <w:numId w:val="1001"/>
        </w:numPr>
        <w:pStyle w:val="Compact"/>
      </w:pPr>
      <w:r>
        <w:rPr>
          <w:bCs/>
          <w:b/>
        </w:rPr>
        <w:t xml:space="preserve">Intellectual Property:</w:t>
      </w:r>
      <w:r>
        <w:t xml:space="preserve"> </w:t>
      </w:r>
      <w:r>
        <w:t xml:space="preserve">Upon full payment, all rights to the final research output transfer to the client. The Academic Researcher retains the right to cite the work in their academic portfolio with client attribution.</w:t>
      </w:r>
    </w:p>
    <w:p>
      <w:pPr>
        <w:numPr>
          <w:ilvl w:val="0"/>
          <w:numId w:val="1001"/>
        </w:numPr>
        <w:pStyle w:val="Compact"/>
      </w:pPr>
      <w:r>
        <w:rPr>
          <w:bCs/>
          <w:b/>
        </w:rPr>
        <w:t xml:space="preserve">Force Majeure:</w:t>
      </w:r>
      <w:r>
        <w:t xml:space="preserve"> </w:t>
      </w:r>
      <w:r>
        <w:t xml:space="preserve">Delays caused by government-mandated closures, internet restrictions, or national emergencies in Iran Tehran shall extend the project timeline proportionally without penalty to either party.</w:t>
      </w:r>
    </w:p>
    <w:p>
      <w:pPr>
        <w:numPr>
          <w:ilvl w:val="0"/>
          <w:numId w:val="1001"/>
        </w:numPr>
        <w:pStyle w:val="Compact"/>
      </w:pPr>
      <w:r>
        <w:rPr>
          <w:bCs/>
          <w:b/>
        </w:rPr>
        <w:t xml:space="preserve">Confidentiality:</w:t>
      </w:r>
      <w:r>
        <w:t xml:space="preserve"> </w:t>
      </w:r>
      <w:r>
        <w:t xml:space="preserve">All data, preliminary findings, and unpublished manuscripts are subject to a mutual Non-Disclosure Agreement (NDA) executed prior to project commencement.</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under the rules of the Tehran International Arbitration Center (TIAC) in accordance with Iranian commercial law.</w:t>
      </w:r>
    </w:p>
    <w:p>
      <w:pPr>
        <w:numPr>
          <w:ilvl w:val="0"/>
          <w:numId w:val="1001"/>
        </w:numPr>
        <w:pStyle w:val="Compact"/>
      </w:pPr>
      <w:r>
        <w:rPr>
          <w:bCs/>
          <w:b/>
        </w:rPr>
        <w:t xml:space="preserve">Revisions:</w:t>
      </w:r>
      <w:r>
        <w:t xml:space="preserve"> </w:t>
      </w:r>
      <w:r>
        <w:t xml:space="preserve">Up to three (3) rounds of manuscript revision are included. Additional revisions beyond this scope will be billed at $1,600 per round as stipulated in this Quotation Estimate.</w:t>
      </w:r>
    </w:p>
    <w:bookmarkEnd w:id="23"/>
    <w:bookmarkStart w:id="24" w:name="assumptions-and-exclusions"/>
    <w:p>
      <w:pPr>
        <w:pStyle w:val="Heading2"/>
      </w:pPr>
      <w:r>
        <w:t xml:space="preserve">4. Assumptions and Exclusions</w:t>
      </w:r>
    </w:p>
    <w:p>
      <w:pPr>
        <w:pStyle w:val="FirstParagraph"/>
      </w:pPr>
      <w:r>
        <w:t xml:space="preserve">This Quotation Estimate assumes that the client will provide timely access to any proprietary datasets, institutional permissions, or subject-matter expertise required. Travel expenses beyond the Tehran metropolitan area, translation services into languages other than Persian and English, and costs associated with conference presentation of the final research are excluded from this estimate and will be quoted separately if required.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Academic Researcher services in Iran Tehran and agrees to the terms, conditions, and financial projections outlined herein. The Academic Researcher confirms availability and commitment to deliver the scoped work within the stated timeline.</w:t>
      </w:r>
    </w:p>
    <w:p>
      <w:pPr>
        <w:pStyle w:val="BodyText"/>
      </w:pPr>
      <w:r>
        <w:rPr>
          <w:bCs/>
          <w:b/>
        </w:rPr>
        <w:t xml:space="preserve">For the Client:</w:t>
      </w:r>
    </w:p>
    <w:p>
      <w:pPr>
        <w:pStyle w:val="BodyText"/>
      </w:pPr>
      <w:r>
        <w:t xml:space="preserve">Name: __________________________</w:t>
      </w:r>
    </w:p>
    <w:p>
      <w:pPr>
        <w:pStyle w:val="BodyText"/>
      </w:pPr>
      <w:r>
        <w:t xml:space="preserve">Title: __________________________</w:t>
      </w:r>
    </w:p>
    <w:p>
      <w:pPr>
        <w:pStyle w:val="BodyText"/>
      </w:pPr>
      <w:r>
        <w:t xml:space="preserve">Organization: __________________________</w:t>
      </w:r>
    </w:p>
    <w:p>
      <w:pPr>
        <w:pStyle w:val="BodyText"/>
      </w:pPr>
      <w:r>
        <w:t xml:space="preserve">Signature &amp; Date</w:t>
      </w:r>
    </w:p>
    <w:p>
      <w:pPr>
        <w:pStyle w:val="BodyText"/>
      </w:pPr>
      <w:r>
        <w:rPr>
          <w:bCs/>
          <w:b/>
        </w:rPr>
        <w:t xml:space="preserve">For the Academic Researcher:</w:t>
      </w:r>
    </w:p>
    <w:p>
      <w:pPr>
        <w:pStyle w:val="BodyText"/>
      </w:pPr>
      <w:r>
        <w:t xml:space="preserve">Name: Dr. Farzad Mohammadi</w:t>
      </w:r>
    </w:p>
    <w:p>
      <w:pPr>
        <w:pStyle w:val="BodyText"/>
      </w:pPr>
      <w:r>
        <w:t xml:space="preserve">Title: Senior Academic Researcher</w:t>
      </w:r>
    </w:p>
    <w:p>
      <w:pPr>
        <w:pStyle w:val="BodyText"/>
      </w:pPr>
      <w:r>
        <w:t xml:space="preserve">Institution: Tehran University Research Consortium</w:t>
      </w:r>
    </w:p>
    <w:p>
      <w:pPr>
        <w:pStyle w:val="BodyText"/>
      </w:pPr>
      <w:r>
        <w:t xml:space="preserve">Signature &amp; Date</w:t>
      </w:r>
    </w:p>
    <w:p>
      <w:pPr>
        <w:pStyle w:val="BodyText"/>
      </w:pPr>
      <w:r>
        <w:t xml:space="preserve">This Quotation Estimate document was prepared in Tehran, Islamic Republic of Iran. All references to "Iran Tehran" denote the primary operational jurisdiction. This document is confidential and intended solely for the named recipient. Unauthorized reproduction or distribution is prohibited. © 2025 Tehran University Research Consortium.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Iran Tehran</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