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Academic Researcher Professional Services — Israel Tel Aviv</w:t>
      </w:r>
    </w:p>
    <w:p>
      <w:pPr>
        <w:pStyle w:val="BodyText"/>
      </w:pPr>
      <w:r>
        <w:t xml:space="preserve">Document Reference: QE-IL-TLV-2025-0472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Quotation Validity</w:t>
            </w:r>
          </w:p>
        </w:tc>
        <w:tc>
          <w:tcPr/>
          <w:p>
            <w:pPr>
              <w:pStyle w:val="Compact"/>
              <w:jc w:val="left"/>
            </w:pPr>
            <w:r>
              <w:t xml:space="preserve">30 calendar days from date of issue (until July 15, 2025)</w:t>
            </w:r>
          </w:p>
        </w:tc>
      </w:tr>
      <w:tr>
        <w:tc>
          <w:tcPr/>
          <w:p>
            <w:pPr>
              <w:pStyle w:val="Compact"/>
              <w:jc w:val="left"/>
            </w:pPr>
            <w:r>
              <w:t xml:space="preserve">Prepared By</w:t>
            </w:r>
          </w:p>
        </w:tc>
        <w:tc>
          <w:tcPr/>
          <w:p>
            <w:pPr>
              <w:pStyle w:val="Compact"/>
              <w:jc w:val="left"/>
            </w:pPr>
            <w:r>
              <w:t xml:space="preserve">Dr. Miriam Levi, Lead Academic Researcher — Tel Aviv University Research Consortium</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Location of Services</w:t>
            </w:r>
          </w:p>
        </w:tc>
        <w:tc>
          <w:tcPr/>
          <w:p>
            <w:pPr>
              <w:pStyle w:val="Compact"/>
              <w:jc w:val="left"/>
            </w:pPr>
            <w:r>
              <w:t xml:space="preserve">Tel Aviv, Israel — Primary office at 45 Allenby Street, Tel Aviv 66101, Israel</w:t>
            </w:r>
          </w:p>
        </w:tc>
      </w:tr>
      <w:tr>
        <w:tc>
          <w:tcPr/>
          <w:p>
            <w:pPr>
              <w:pStyle w:val="Compact"/>
              <w:jc w:val="left"/>
            </w:pPr>
            <w:r>
              <w:t xml:space="preserve">Currency</w:t>
            </w:r>
          </w:p>
        </w:tc>
        <w:tc>
          <w:tcPr/>
          <w:p>
            <w:pPr>
              <w:pStyle w:val="Compact"/>
              <w:jc w:val="left"/>
            </w:pPr>
            <w:r>
              <w:t xml:space="preserve">Israeli New Shekel (ILS / –)</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projection for the engagement of a qualified</w:t>
      </w:r>
      <w:r>
        <w:t xml:space="preserve"> </w:t>
      </w:r>
      <w:r>
        <w:t xml:space="preserve">Academic Researcher</w:t>
      </w:r>
      <w:r>
        <w:t xml:space="preserve"> </w:t>
      </w:r>
      <w:r>
        <w:t xml:space="preserve">to deliver specialized research, analytical, and advisory services within the jurisdiction of</w:t>
      </w:r>
      <w:r>
        <w:t xml:space="preserve"> </w:t>
      </w:r>
      <w:r>
        <w:t xml:space="preserve">Israel Tel Aviv</w:t>
      </w:r>
      <w:r>
        <w:t xml:space="preserve">. This document serves as a binding financial proposal and does not constitute a final contract until both parties execute the formal service agreement. All figures presented herein are estimates based on current market rates in the Tel Aviv academic and professional services sector as of the date of issue.</w:t>
      </w:r>
    </w:p>
    <w:bookmarkEnd w:id="21"/>
    <w:bookmarkStart w:id="22" w:name="X14953c45e1cce4ddefc72a6d790efdd03f4332c"/>
    <w:p>
      <w:pPr>
        <w:pStyle w:val="Heading2"/>
      </w:pPr>
      <w:r>
        <w:t xml:space="preserve">2. Scope of Work — Academic Researcher Services</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perform the following duties and deliverables, all conducted in accordance with the academic and professional standards prevailing in</w:t>
      </w:r>
      <w:r>
        <w:t xml:space="preserve"> </w:t>
      </w:r>
      <w:r>
        <w:t xml:space="preserve">Israel Tel Aviv</w:t>
      </w:r>
      <w:r>
        <w:t xml:space="preserve">:</w:t>
      </w:r>
    </w:p>
    <w:p>
      <w:pPr>
        <w:numPr>
          <w:ilvl w:val="0"/>
          <w:numId w:val="1001"/>
        </w:numPr>
        <w:pStyle w:val="Compact"/>
      </w:pPr>
      <w:r>
        <w:rPr>
          <w:bCs/>
          <w:b/>
        </w:rPr>
        <w:t xml:space="preserve">Literature Review &amp; Synthesis:</w:t>
      </w:r>
      <w:r>
        <w:t xml:space="preserve"> </w:t>
      </w:r>
      <w:r>
        <w:t xml:space="preserve">Conduct a comprehensive review of peer-reviewed literature, government publications, and institutional reports relevant to the client's research objectives. The Academic Researcher shall deliver a minimum of 40-page annotated bibliography with critical synthesis.</w:t>
      </w:r>
    </w:p>
    <w:p>
      <w:pPr>
        <w:numPr>
          <w:ilvl w:val="0"/>
          <w:numId w:val="1001"/>
        </w:numPr>
        <w:pStyle w:val="Compact"/>
      </w:pPr>
      <w:r>
        <w:rPr>
          <w:bCs/>
          <w:b/>
        </w:rPr>
        <w:t xml:space="preserve">Primary Data Collection &amp; Analysis:</w:t>
      </w:r>
      <w:r>
        <w:t xml:space="preserve"> </w:t>
      </w:r>
      <w:r>
        <w:t xml:space="preserve">Design and execute qualitative and/or quantitative research methodologies, including structured interviews, survey instruments, and statistical modeling. All fieldwork shall be conducted within the Tel Aviv metropolitan area and surrounding regions of Israel.</w:t>
      </w:r>
    </w:p>
    <w:p>
      <w:pPr>
        <w:numPr>
          <w:ilvl w:val="0"/>
          <w:numId w:val="1001"/>
        </w:numPr>
        <w:pStyle w:val="Compact"/>
      </w:pPr>
      <w:r>
        <w:rPr>
          <w:bCs/>
          <w:b/>
        </w:rPr>
        <w:t xml:space="preserve">Academic Writing &amp; Publication Support:</w:t>
      </w:r>
      <w:r>
        <w:t xml:space="preserve"> </w:t>
      </w:r>
      <w:r>
        <w:t xml:space="preserve">Draft, edit, and refine research manuscripts suitable for submission to internationally recognized peer-reviewed journals. The Academic Researcher shall provide up to three rounds of revision based on reviewer feedback.</w:t>
      </w:r>
    </w:p>
    <w:p>
      <w:pPr>
        <w:numPr>
          <w:ilvl w:val="0"/>
          <w:numId w:val="1001"/>
        </w:numPr>
        <w:pStyle w:val="Compact"/>
      </w:pPr>
      <w:r>
        <w:rPr>
          <w:bCs/>
          <w:b/>
        </w:rPr>
        <w:t xml:space="preserve">Conference Presentation &amp; Dissemination:</w:t>
      </w:r>
      <w:r>
        <w:t xml:space="preserve"> </w:t>
      </w:r>
      <w:r>
        <w:t xml:space="preserve">Prepare and deliver at least two (2) academic presentations at recognized conferences held in Israel Tel Aviv or internationally, representing the client's research findings.</w:t>
      </w:r>
    </w:p>
    <w:p>
      <w:pPr>
        <w:numPr>
          <w:ilvl w:val="0"/>
          <w:numId w:val="1001"/>
        </w:numPr>
        <w:pStyle w:val="Compact"/>
      </w:pPr>
      <w:r>
        <w:rPr>
          <w:bCs/>
          <w:b/>
        </w:rPr>
        <w:t xml:space="preserve">Advisory Consultation:</w:t>
      </w:r>
      <w:r>
        <w:t xml:space="preserve"> </w:t>
      </w:r>
      <w:r>
        <w:t xml:space="preserve">Provide bi-weekly advisory sessions (2 hours per session) to the client's project team, offering methodological guidance, ethical compliance review, and strategic research direction.</w:t>
      </w:r>
    </w:p>
    <w:p>
      <w:pPr>
        <w:numPr>
          <w:ilvl w:val="0"/>
          <w:numId w:val="1001"/>
        </w:numPr>
        <w:pStyle w:val="Compact"/>
      </w:pPr>
      <w:r>
        <w:rPr>
          <w:bCs/>
          <w:b/>
        </w:rPr>
        <w:t xml:space="preserve">Ethical Compliance &amp; IRB Coordination:</w:t>
      </w:r>
      <w:r>
        <w:t xml:space="preserve"> </w:t>
      </w:r>
      <w:r>
        <w:t xml:space="preserve">Ensure all research activities comply with the Israeli National Committee for the Protection of Human Subjects in Research and the relevant institutional review board (IRB) protocols applicable in Tel Aviv.</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1.1</w:t>
            </w:r>
          </w:p>
        </w:tc>
        <w:tc>
          <w:tcPr/>
          <w:p>
            <w:pPr>
              <w:pStyle w:val="Compact"/>
              <w:jc w:val="left"/>
            </w:pPr>
            <w:r>
              <w:t xml:space="preserve">Literature Review &amp; Annotated Bibliography</w:t>
            </w:r>
          </w:p>
        </w:tc>
        <w:tc>
          <w:tcPr/>
          <w:p>
            <w:pPr>
              <w:pStyle w:val="Compact"/>
              <w:jc w:val="left"/>
            </w:pPr>
            <w:r>
              <w:t xml:space="preserve">1 deliverable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1.2</w:t>
            </w:r>
          </w:p>
        </w:tc>
        <w:tc>
          <w:tcPr/>
          <w:p>
            <w:pPr>
              <w:pStyle w:val="Compact"/>
              <w:jc w:val="left"/>
            </w:pPr>
            <w:r>
              <w:t xml:space="preserve">Primary Data Collection &amp; Statistical Analysis</w:t>
            </w:r>
          </w:p>
        </w:tc>
        <w:tc>
          <w:tcPr/>
          <w:p>
            <w:pPr>
              <w:pStyle w:val="Compact"/>
              <w:jc w:val="left"/>
            </w:pPr>
            <w:r>
              <w:t xml:space="preserve">12 weeks</w:t>
            </w:r>
          </w:p>
        </w:tc>
        <w:tc>
          <w:tcPr/>
          <w:p>
            <w:pPr>
              <w:pStyle w:val="Compact"/>
              <w:jc w:val="left"/>
            </w:pPr>
            <w:r>
              <w:t xml:space="preserve">14,200 / week</w:t>
            </w:r>
          </w:p>
        </w:tc>
        <w:tc>
          <w:tcPr/>
          <w:p>
            <w:pPr>
              <w:pStyle w:val="Compact"/>
              <w:jc w:val="left"/>
            </w:pPr>
            <w:r>
              <w:t xml:space="preserve">170,400</w:t>
            </w:r>
          </w:p>
        </w:tc>
      </w:tr>
      <w:tr>
        <w:tc>
          <w:tcPr/>
          <w:p>
            <w:pPr>
              <w:pStyle w:val="Compact"/>
              <w:jc w:val="left"/>
            </w:pPr>
            <w:r>
              <w:t xml:space="preserve">1.3</w:t>
            </w:r>
          </w:p>
        </w:tc>
        <w:tc>
          <w:tcPr/>
          <w:p>
            <w:pPr>
              <w:pStyle w:val="Compact"/>
              <w:jc w:val="left"/>
            </w:pPr>
            <w:r>
              <w:t xml:space="preserve">Academic Manuscript Drafting &amp; Revision (3 rounds)</w:t>
            </w:r>
          </w:p>
        </w:tc>
        <w:tc>
          <w:tcPr/>
          <w:p>
            <w:pPr>
              <w:pStyle w:val="Compact"/>
              <w:jc w:val="left"/>
            </w:pPr>
            <w:r>
              <w:t xml:space="preserve">3 deliverables</w:t>
            </w:r>
          </w:p>
        </w:tc>
        <w:tc>
          <w:tcPr/>
          <w:p>
            <w:pPr>
              <w:pStyle w:val="Compact"/>
              <w:jc w:val="left"/>
            </w:pPr>
            <w:r>
              <w:t xml:space="preserve">12,800 / round</w:t>
            </w:r>
          </w:p>
        </w:tc>
        <w:tc>
          <w:tcPr/>
          <w:p>
            <w:pPr>
              <w:pStyle w:val="Compact"/>
              <w:jc w:val="left"/>
            </w:pPr>
            <w:r>
              <w:t xml:space="preserve">38,400</w:t>
            </w:r>
          </w:p>
        </w:tc>
      </w:tr>
      <w:tr>
        <w:tc>
          <w:tcPr/>
          <w:p>
            <w:pPr>
              <w:pStyle w:val="Compact"/>
              <w:jc w:val="left"/>
            </w:pPr>
            <w:r>
              <w:t xml:space="preserve">1.4</w:t>
            </w:r>
          </w:p>
        </w:tc>
        <w:tc>
          <w:tcPr/>
          <w:p>
            <w:pPr>
              <w:pStyle w:val="Compact"/>
              <w:jc w:val="left"/>
            </w:pPr>
            <w:r>
              <w:t xml:space="preserve">Conference Presentation Preparation &amp; Delivery</w:t>
            </w:r>
          </w:p>
        </w:tc>
        <w:tc>
          <w:tcPr/>
          <w:p>
            <w:pPr>
              <w:pStyle w:val="Compact"/>
              <w:jc w:val="left"/>
            </w:pPr>
            <w:r>
              <w:t xml:space="preserve">2 presentations</w:t>
            </w:r>
          </w:p>
        </w:tc>
        <w:tc>
          <w:tcPr/>
          <w:p>
            <w:pPr>
              <w:pStyle w:val="Compact"/>
              <w:jc w:val="left"/>
            </w:pPr>
            <w:r>
              <w:t xml:space="preserve">9,600 / event</w:t>
            </w:r>
          </w:p>
        </w:tc>
        <w:tc>
          <w:tcPr/>
          <w:p>
            <w:pPr>
              <w:pStyle w:val="Compact"/>
              <w:jc w:val="left"/>
            </w:pPr>
            <w:r>
              <w:t xml:space="preserve">19,200</w:t>
            </w:r>
          </w:p>
        </w:tc>
      </w:tr>
      <w:tr>
        <w:tc>
          <w:tcPr/>
          <w:p>
            <w:pPr>
              <w:pStyle w:val="Compact"/>
              <w:jc w:val="left"/>
            </w:pPr>
            <w:r>
              <w:t xml:space="preserve">1.5</w:t>
            </w:r>
          </w:p>
        </w:tc>
        <w:tc>
          <w:tcPr/>
          <w:p>
            <w:pPr>
              <w:pStyle w:val="Compact"/>
              <w:jc w:val="left"/>
            </w:pPr>
            <w:r>
              <w:t xml:space="preserve">Bi-Weekly Advisory Consultation Sessions</w:t>
            </w:r>
          </w:p>
        </w:tc>
        <w:tc>
          <w:tcPr/>
          <w:p>
            <w:pPr>
              <w:pStyle w:val="Compact"/>
              <w:jc w:val="left"/>
            </w:pPr>
            <w:r>
              <w:t xml:space="preserve">12 sessions × 2 hrs</w:t>
            </w:r>
          </w:p>
        </w:tc>
        <w:tc>
          <w:tcPr/>
          <w:p>
            <w:pPr>
              <w:pStyle w:val="Compact"/>
              <w:jc w:val="left"/>
            </w:pPr>
            <w:r>
              <w:t xml:space="preserve">1,850 / hour</w:t>
            </w:r>
          </w:p>
        </w:tc>
        <w:tc>
          <w:tcPr/>
          <w:p>
            <w:pPr>
              <w:pStyle w:val="Compact"/>
              <w:jc w:val="left"/>
            </w:pPr>
            <w:r>
              <w:t xml:space="preserve">44,400</w:t>
            </w:r>
          </w:p>
        </w:tc>
      </w:tr>
      <w:tr>
        <w:tc>
          <w:tcPr/>
          <w:p>
            <w:pPr>
              <w:pStyle w:val="Compact"/>
              <w:jc w:val="left"/>
            </w:pPr>
            <w:r>
              <w:t xml:space="preserve">1.6</w:t>
            </w:r>
          </w:p>
        </w:tc>
        <w:tc>
          <w:tcPr/>
          <w:p>
            <w:pPr>
              <w:pStyle w:val="Compact"/>
              <w:jc w:val="left"/>
            </w:pPr>
            <w:r>
              <w:t xml:space="preserve">Ethical Compliance &amp; IRB Filing Coordination</w:t>
            </w:r>
          </w:p>
        </w:tc>
        <w:tc>
          <w:tcPr/>
          <w:p>
            <w:pPr>
              <w:pStyle w:val="Compact"/>
              <w:jc w:val="left"/>
            </w:pPr>
            <w:r>
              <w:t xml:space="preserve">1 engagement</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1.7</w:t>
            </w:r>
          </w:p>
        </w:tc>
        <w:tc>
          <w:tcPr/>
          <w:p>
            <w:pPr>
              <w:pStyle w:val="Compact"/>
              <w:jc w:val="left"/>
            </w:pPr>
            <w:r>
              <w:t xml:space="preserve">Travel &amp; Local Transportation within Tel Aviv, Israel</w:t>
            </w:r>
          </w:p>
        </w:tc>
        <w:tc>
          <w:tcPr/>
          <w:p>
            <w:pPr>
              <w:pStyle w:val="Compact"/>
              <w:jc w:val="left"/>
            </w:pPr>
            <w:r>
              <w:t xml:space="preserve">Estimated 20 days</w:t>
            </w:r>
          </w:p>
        </w:tc>
        <w:tc>
          <w:tcPr/>
          <w:p>
            <w:pPr>
              <w:pStyle w:val="Compact"/>
              <w:jc w:val="left"/>
            </w:pPr>
            <w:r>
              <w:t xml:space="preserve">450 / day</w:t>
            </w:r>
          </w:p>
        </w:tc>
        <w:tc>
          <w:tcPr/>
          <w:p>
            <w:pPr>
              <w:pStyle w:val="Compact"/>
              <w:jc w:val="left"/>
            </w:pPr>
            <w:r>
              <w:t xml:space="preserve">9,000</w:t>
            </w:r>
          </w:p>
        </w:tc>
      </w:tr>
      <w:tr>
        <w:tc>
          <w:tcPr/>
          <w:p>
            <w:pPr>
              <w:pStyle w:val="Compact"/>
              <w:jc w:val="left"/>
            </w:pPr>
            <w:r>
              <w:t xml:space="preserve">1.8</w:t>
            </w:r>
          </w:p>
        </w:tc>
        <w:tc>
          <w:tcPr/>
          <w:p>
            <w:pPr>
              <w:pStyle w:val="Compact"/>
              <w:jc w:val="left"/>
            </w:pPr>
            <w:r>
              <w:t xml:space="preserve">Software Licenses, Database Access &amp; Research Materials</w:t>
            </w:r>
          </w:p>
        </w:tc>
        <w:tc>
          <w:tcPr/>
          <w:p>
            <w:pPr>
              <w:pStyle w:val="Compact"/>
              <w:jc w:val="left"/>
            </w:pPr>
            <w:r>
              <w:t xml:space="preserve">Project duration</w:t>
            </w:r>
          </w:p>
        </w:tc>
        <w:tc>
          <w:tcPr/>
          <w:p>
            <w:pPr>
              <w:pStyle w:val="Compact"/>
              <w:jc w:val="left"/>
            </w:pPr>
            <w:r>
              <w:t xml:space="preserve">11,300</w:t>
            </w:r>
          </w:p>
        </w:tc>
        <w:tc>
          <w:tcPr/>
          <w:p>
            <w:pPr>
              <w:pStyle w:val="Compact"/>
              <w:jc w:val="left"/>
            </w:pPr>
            <w:r>
              <w:t xml:space="preserve">11,300</w:t>
            </w:r>
          </w:p>
        </w:tc>
      </w:tr>
      <w:tr>
        <w:tc>
          <w:tcPr/>
          <w:p>
            <w:pPr>
              <w:pStyle w:val="Compact"/>
              <w:jc w:val="left"/>
            </w:pPr>
            <w:r>
              <w:t xml:space="preserve">1.9</w:t>
            </w:r>
          </w:p>
        </w:tc>
        <w:tc>
          <w:tcPr/>
          <w:p>
            <w:pPr>
              <w:pStyle w:val="Compact"/>
              <w:jc w:val="left"/>
            </w:pPr>
            <w:r>
              <w:t xml:space="preserve">Administrative &amp; Project Management Overhead (10%)</w:t>
            </w:r>
          </w:p>
        </w:tc>
        <w:tc>
          <w:tcPr/>
          <w:p>
            <w:pPr>
              <w:pStyle w:val="Compact"/>
              <w:jc w:val="left"/>
            </w:pPr>
            <w:r>
              <w:t xml:space="preserve">Calculated on items 1.1–1.8</w:t>
            </w:r>
          </w:p>
        </w:tc>
        <w:tc>
          <w:tcPr/>
          <w:p>
            <w:pPr>
              <w:pStyle w:val="Compact"/>
              <w:jc w:val="left"/>
            </w:pPr>
            <w:r>
              <w:t xml:space="preserve">—</w:t>
            </w:r>
          </w:p>
        </w:tc>
        <w:tc>
          <w:tcPr/>
          <w:p>
            <w:pPr>
              <w:pStyle w:val="Compact"/>
              <w:jc w:val="left"/>
            </w:pPr>
            <w:r>
              <w:t xml:space="preserve">31,870</w:t>
            </w:r>
          </w:p>
        </w:tc>
      </w:tr>
      <w:tr>
        <w:tc>
          <w:tcPr>
            <w:gridSpan w:val="4"/>
          </w:tcPr>
          <w:p>
            <w:pPr>
              <w:pStyle w:val="Compact"/>
              <w:jc w:val="right"/>
            </w:pPr>
            <w:r>
              <w:t xml:space="preserve">TOTAL ESTIMATED COST (before VAT)</w:t>
            </w:r>
          </w:p>
        </w:tc>
        <w:tc>
          <w:tcPr/>
          <w:p>
            <w:pPr>
              <w:pStyle w:val="Compact"/>
              <w:jc w:val="left"/>
            </w:pPr>
            <w:r>
              <w:t xml:space="preserve">339,570 ILS</w:t>
            </w:r>
          </w:p>
        </w:tc>
      </w:tr>
      <w:tr>
        <w:tc>
          <w:tcPr>
            <w:gridSpan w:val="4"/>
          </w:tcPr>
          <w:p>
            <w:pPr>
              <w:pStyle w:val="Compact"/>
              <w:jc w:val="right"/>
            </w:pPr>
            <w:r>
              <w:t xml:space="preserve">VAT @ 18% (Israel)</w:t>
            </w:r>
          </w:p>
        </w:tc>
        <w:tc>
          <w:tcPr/>
          <w:p>
            <w:pPr>
              <w:pStyle w:val="Compact"/>
              <w:jc w:val="left"/>
            </w:pPr>
            <w:r>
              <w:t xml:space="preserve">61,123 ILS</w:t>
            </w:r>
          </w:p>
        </w:tc>
      </w:tr>
      <w:tr>
        <w:tc>
          <w:tcPr>
            <w:gridSpan w:val="4"/>
          </w:tcPr>
          <w:p>
            <w:pPr>
              <w:pStyle w:val="Compact"/>
              <w:jc w:val="right"/>
            </w:pPr>
            <w:r>
              <w:t xml:space="preserve">GRAND TOTAL (VAT Inclusive)</w:t>
            </w:r>
          </w:p>
        </w:tc>
        <w:tc>
          <w:tcPr/>
          <w:p>
            <w:pPr>
              <w:pStyle w:val="Compact"/>
              <w:jc w:val="left"/>
            </w:pPr>
            <w:r>
              <w:t xml:space="preserve">400,693 ILS</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for the</w:t>
      </w:r>
      <w:r>
        <w:t xml:space="preserve"> </w:t>
      </w:r>
      <w:r>
        <w:t xml:space="preserve">Academic Researcher</w:t>
      </w:r>
      <w:r>
        <w:t xml:space="preserve"> </w:t>
      </w:r>
      <w:r>
        <w:t xml:space="preserve">engagement in</w:t>
      </w:r>
      <w:r>
        <w:t xml:space="preserve"> </w:t>
      </w:r>
      <w:r>
        <w:t xml:space="preserve">Israel Tel Aviv</w:t>
      </w:r>
      <w:r>
        <w:t xml:space="preserve"> </w:t>
      </w:r>
      <w:r>
        <w:t xml:space="preserve">shall be settled according to the following schedule:</w:t>
      </w:r>
    </w:p>
    <w:p>
      <w:pPr>
        <w:pStyle w:val="BodyText"/>
      </w:pPr>
      <w:r>
        <w:rPr>
          <w:bCs/>
          <w:b/>
        </w:rPr>
        <w:t xml:space="preserve">30% advance payment</w:t>
      </w:r>
      <w:r>
        <w:t xml:space="preserve"> </w:t>
      </w:r>
      <w:r>
        <w:t xml:space="preserve">(120,208 ILS) due upon execution of the service agreement and prior to commencement of work.</w:t>
      </w:r>
    </w:p>
    <w:p>
      <w:pPr>
        <w:pStyle w:val="BodyText"/>
      </w:pPr>
      <w:r>
        <w:rPr>
          <w:bCs/>
          <w:b/>
        </w:rPr>
        <w:t xml:space="preserve">40% interim payment</w:t>
      </w:r>
      <w:r>
        <w:t xml:space="preserve"> </w:t>
      </w:r>
      <w:r>
        <w:t xml:space="preserve">(160,277 ILS) due upon delivery of the primary data analysis report and manuscript first draft.</w:t>
      </w:r>
    </w:p>
    <w:p>
      <w:pPr>
        <w:pStyle w:val="BodyText"/>
      </w:pPr>
      <w:r>
        <w:rPr>
          <w:bCs/>
          <w:b/>
        </w:rPr>
        <w:t xml:space="preserve">30% final payment</w:t>
      </w:r>
      <w:r>
        <w:t xml:space="preserve"> </w:t>
      </w:r>
      <w:r>
        <w:t xml:space="preserve">(120,208 ILS) due upon final acceptance of all deliverables and completion of the project.</w:t>
      </w:r>
    </w:p>
    <w:p>
      <w:pPr>
        <w:pStyle w:val="BodyText"/>
      </w:pPr>
      <w:r>
        <w:t xml:space="preserve">All payments shall be made via bank transfer to the designated account of the Academic Researcher's registered entity in Tel Aviv, Israel. Late payments shall accrue interest at the rate of 1.5% per month in accordance with Israeli commercial law.</w:t>
      </w:r>
    </w:p>
    <w:bookmarkEnd w:id="24"/>
    <w:bookmarkStart w:id="25" w:name="terms-conditions-assumptions"/>
    <w:p>
      <w:pPr>
        <w:pStyle w:val="Heading2"/>
      </w:pPr>
      <w:r>
        <w:t xml:space="preserve">5. Terms, Conditions &amp; Assumptions</w:t>
      </w:r>
    </w:p>
    <w:p>
      <w:pPr>
        <w:pStyle w:val="FirstParagraph"/>
      </w:pPr>
      <w:r>
        <w:t xml:space="preserve">5.1. This</w:t>
      </w:r>
      <w:r>
        <w:t xml:space="preserve"> </w:t>
      </w:r>
      <w:r>
        <w:t xml:space="preserve">Quotation Estimate</w:t>
      </w:r>
      <w:r>
        <w:t xml:space="preserve"> </w:t>
      </w:r>
      <w:r>
        <w:t xml:space="preserve">is valid for thirty (30) days from the date of issue. Beyond this period, rates may be adjusted to reflect changes in the Tel Aviv professional services market.</w:t>
      </w:r>
    </w:p>
    <w:p>
      <w:pPr>
        <w:pStyle w:val="BodyText"/>
      </w:pPr>
      <w:r>
        <w:t xml:space="preserve">5.2. The</w:t>
      </w:r>
      <w:r>
        <w:t xml:space="preserve"> </w:t>
      </w:r>
      <w:r>
        <w:t xml:space="preserve">Academic Researcher</w:t>
      </w:r>
      <w:r>
        <w:t xml:space="preserve"> </w:t>
      </w:r>
      <w:r>
        <w:t xml:space="preserve">reserves the right to decline engagement if the proposed research scope raises ethical concerns inconsistent with Israeli academic integrity standards or international research ethics guidelines.</w:t>
      </w:r>
    </w:p>
    <w:p>
      <w:pPr>
        <w:pStyle w:val="BodyText"/>
      </w:pPr>
      <w:r>
        <w:t xml:space="preserve">5.3. All intellectual property produced under this engagement shall be jointly owned by the client and the Academic Researcher unless otherwise stipulated in the final service agreement.</w:t>
      </w:r>
    </w:p>
    <w:p>
      <w:pPr>
        <w:pStyle w:val="BodyText"/>
      </w:pPr>
      <w:r>
        <w:t xml:space="preserve">5.4. The client acknowledges that the Academic Researcher operates as an independent professional entity based in Israel Tel Aviv and is not an employee or agent of the client organization.</w:t>
      </w:r>
    </w:p>
    <w:p>
      <w:pPr>
        <w:pStyle w:val="BodyText"/>
      </w:pPr>
      <w:r>
        <w:t xml:space="preserve">5.5. Force majeure events, including but not limited to national security alerts, public health emergencies, or governmental restrictions affecting operations in Tel Aviv, Israel, shall suspend project timelines without penalty to either party.</w:t>
      </w:r>
    </w:p>
    <w:p>
      <w:pPr>
        <w:pStyle w:val="BodyText"/>
      </w:pPr>
      <w:r>
        <w:t xml:space="preserve">5.6. This Quotation Estimate does not include costs for international travel, translation services, or publication fees charged by academic journals, which shall be borne by the client as separate line items if required.</w:t>
      </w:r>
    </w:p>
    <w:p>
      <w:pPr>
        <w:pStyle w:val="BodyText"/>
      </w:pPr>
      <w:r>
        <w:t xml:space="preserve">5.7. Disputes arising from this engagement shall be resolved through mediation in Tel Aviv, Israel, in accordance with the laws of the State of Israel.</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Academic Researcher</w:t>
      </w:r>
      <w:r>
        <w:t xml:space="preserve"> </w:t>
      </w:r>
      <w:r>
        <w:t xml:space="preserve">in</w:t>
      </w:r>
      <w:r>
        <w:t xml:space="preserve"> </w:t>
      </w:r>
      <w:r>
        <w:t xml:space="preserve">Israel Tel Aviv</w:t>
      </w:r>
      <w:r>
        <w:t xml:space="preserve">. This signature constitutes a request to proceed to the formal service agreement drafting stage.</w:t>
      </w:r>
    </w:p>
    <w:p>
      <w:pPr>
        <w:pStyle w:val="BodyText"/>
      </w:pPr>
      <w:r>
        <w:rPr>
          <w:bCs/>
          <w:b/>
        </w:rPr>
        <w:t xml:space="preserve">For the Academic Researcher / Service Provider:</w:t>
      </w:r>
    </w:p>
    <w:p>
      <w:pPr>
        <w:pStyle w:val="BodyText"/>
      </w:pPr>
      <w:r>
        <w:t xml:space="preserve">Dr. Miriam Levi</w:t>
      </w:r>
      <w:r>
        <w:br/>
      </w:r>
      <w:r>
        <w:t xml:space="preserve">Lead Academic Researcher</w:t>
      </w:r>
      <w:r>
        <w:br/>
      </w:r>
      <w:r>
        <w:t xml:space="preserve">Tel Aviv University Research Consortium</w:t>
      </w:r>
      <w:r>
        <w:br/>
      </w:r>
      <w:r>
        <w:t xml:space="preserve">Tel Aviv, Israel</w:t>
      </w:r>
      <w:r>
        <w:br/>
      </w:r>
      <w:r>
        <w:t xml:space="preserve">Date: _______________</w:t>
      </w:r>
    </w:p>
    <w:p>
      <w:pPr>
        <w:pStyle w:val="BodyText"/>
      </w:pPr>
      <w:r>
        <w:rPr>
          <w:bCs/>
          <w:b/>
        </w:rPr>
        <w:t xml:space="preserve">For the Client Organization:</w:t>
      </w:r>
    </w:p>
    <w:p>
      <w:pPr>
        <w:pStyle w:val="BodyText"/>
      </w:pPr>
      <w:r>
        <w:t xml:space="preserve">Name: _________________________</w:t>
      </w:r>
      <w:r>
        <w:br/>
      </w:r>
      <w:r>
        <w:t xml:space="preserve">Title: _________________________</w:t>
      </w:r>
      <w:r>
        <w:br/>
      </w:r>
      <w:r>
        <w:t xml:space="preserve">Organization: _________________________</w:t>
      </w:r>
      <w:r>
        <w:br/>
      </w:r>
      <w:r>
        <w:t xml:space="preserve">Date: _______________</w:t>
      </w:r>
    </w:p>
    <w:p>
      <w:pPr>
        <w:pStyle w:val="BodyText"/>
      </w:pPr>
      <w:r>
        <w:t xml:space="preserve">This Quotation Estimate document (Ref: QE-IL-TLV-2025-0472) was prepared for the engagement of an Academic Researcher in Israel Tel Aviv. All monetary values are expressed in Israeli New Shekels (ILS). This document is confidential and intended solely for the named recipient. Unauthorized reproduction or distribution is prohibited under Israeli intellectual property law.</w:t>
      </w:r>
    </w:p>
    <w:p>
      <w:pPr>
        <w:pStyle w:val="BodyText"/>
      </w:pPr>
      <w:r>
        <w:t xml:space="preserve">© 2025 Tel Aviv University Research Consortium.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Israel Tel Aviv</dc:title>
  <dc:creator/>
  <dc:language>en</dc:language>
  <cp:keywords/>
  <dcterms:created xsi:type="dcterms:W3CDTF">2026-10-10T07:02:17Z</dcterms:created>
  <dcterms:modified xsi:type="dcterms:W3CDTF">2026-10-10T07:02:17Z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