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Prepared for engagement in</w:t>
      </w:r>
      <w:r>
        <w:t xml:space="preserve"> </w:t>
      </w:r>
      <w:r>
        <w:rPr>
          <w:bCs/>
          <w:b/>
        </w:rPr>
        <w:t xml:space="preserve">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QTE-2025-IVC-0472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Amani Kouassi, Lead Academic Researcher – Abidjan Research Consortium</w:t>
            </w:r>
          </w:p>
        </w:tc>
      </w:tr>
      <w:tr>
        <w:tc>
          <w:tcPr/>
          <w:p>
            <w:pPr>
              <w:pStyle w:val="Compact"/>
              <w:jc w:val="left"/>
            </w:pPr>
            <w:r>
              <w:t xml:space="preserve">Client / Requesting Party</w:t>
            </w:r>
          </w:p>
        </w:tc>
        <w:tc>
          <w:tcPr/>
          <w:p>
            <w:pPr>
              <w:pStyle w:val="Compact"/>
              <w:jc w:val="left"/>
            </w:pPr>
            <w:r>
              <w:t xml:space="preserve">[Client Name / Institution], Abidjan, Ivory Coast</w:t>
            </w:r>
          </w:p>
        </w:tc>
      </w:tr>
      <w:tr>
        <w:tc>
          <w:tcPr/>
          <w:p>
            <w:pPr>
              <w:pStyle w:val="Compact"/>
              <w:jc w:val="left"/>
            </w:pPr>
            <w:r>
              <w:t xml:space="preserve">Project Location</w:t>
            </w:r>
          </w:p>
        </w:tc>
        <w:tc>
          <w:tcPr/>
          <w:p>
            <w:pPr>
              <w:pStyle w:val="Compact"/>
              <w:jc w:val="left"/>
            </w:pPr>
            <w:r>
              <w:t xml:space="preserve">Abidjan, Ivory Coast (Côte d'Ivoire) – Cocody District, Boulevard de Vridi</w:t>
            </w:r>
          </w:p>
        </w:tc>
      </w:tr>
      <w:tr>
        <w:tc>
          <w:tcPr/>
          <w:p>
            <w:pPr>
              <w:pStyle w:val="Compact"/>
              <w:jc w:val="left"/>
            </w:pPr>
            <w:r>
              <w:t xml:space="preserve">Currency</w:t>
            </w:r>
          </w:p>
        </w:tc>
        <w:tc>
          <w:tcPr/>
          <w:p>
            <w:pPr>
              <w:pStyle w:val="Compact"/>
              <w:jc w:val="left"/>
            </w:pPr>
            <w:r>
              <w:t xml:space="preserve">West African CFA Franc (XOF) / US Dollar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to outline the scope, deliverables, timeline, and associated costs for the engagement of a qualified</w:t>
      </w:r>
      <w:r>
        <w:t xml:space="preserve"> </w:t>
      </w:r>
      <w:r>
        <w:t xml:space="preserve">Academic Researcher</w:t>
      </w:r>
      <w:r>
        <w:t xml:space="preserve"> </w:t>
      </w:r>
      <w:r>
        <w:t xml:space="preserve">to conduct specialized research activities within the city of</w:t>
      </w:r>
      <w:r>
        <w:t xml:space="preserve"> </w:t>
      </w:r>
      <w:r>
        <w:t xml:space="preserve">Ivory Coast Abidjan</w:t>
      </w:r>
      <w:r>
        <w:t xml:space="preserve">. The purpose of this document is to provide the requesting party with a transparent, itemized financial projection so that informed decisions may be made regarding the commissioning of academic research services in the Abidjan metropolitan area.</w:t>
      </w:r>
    </w:p>
    <w:p>
      <w:pPr>
        <w:pStyle w:val="BodyText"/>
      </w:pPr>
      <w:r>
        <w:t xml:space="preserve">The</w:t>
      </w:r>
      <w:r>
        <w:t xml:space="preserve"> </w:t>
      </w:r>
      <w:r>
        <w:t xml:space="preserve">Academic Researcher</w:t>
      </w:r>
      <w:r>
        <w:t xml:space="preserve"> </w:t>
      </w:r>
      <w:r>
        <w:t xml:space="preserve">proposed for this engagement holds a Doctorate in Development Economics from the Université Félix Houphouët-Boigny (Cocody) and possesses over twelve years of field research experience across West Africa, with a particular focus on socio-economic development, public health policy, and educational outcomes in the Ivory Coast region. All research activities will be conducted in compliance with the national research ethics guidelines established by the Ivorian Ministry of Higher Education and Scientific Research.</w:t>
      </w:r>
    </w:p>
    <w:bookmarkEnd w:id="21"/>
    <w:bookmarkStart w:id="22" w:name="X81cbb79b783a22dd9667b387352d7043c01ac2b"/>
    <w:p>
      <w:pPr>
        <w:pStyle w:val="Heading2"/>
      </w:pPr>
      <w:r>
        <w:t xml:space="preserve">2. Scope of Work – Academic Researcher Services in Ivory Coast Abidjan</w:t>
      </w:r>
    </w:p>
    <w:p>
      <w:pPr>
        <w:pStyle w:val="FirstParagraph"/>
      </w:pPr>
      <w:r>
        <w:t xml:space="preserve">The</w:t>
      </w:r>
      <w:r>
        <w:t xml:space="preserve"> </w:t>
      </w:r>
      <w:r>
        <w:t xml:space="preserve">Academic Researcher</w:t>
      </w:r>
      <w:r>
        <w:t xml:space="preserve"> </w:t>
      </w:r>
      <w:r>
        <w:t xml:space="preserve">will perform the following tasks as part of this engagement in</w:t>
      </w:r>
      <w:r>
        <w:t xml:space="preserve"> </w:t>
      </w:r>
      <w:r>
        <w:t xml:space="preserve">Ivory Coast Abidjan</w:t>
      </w:r>
      <w:r>
        <w:t xml:space="preserve">:</w:t>
      </w:r>
    </w:p>
    <w:p>
      <w:pPr>
        <w:numPr>
          <w:ilvl w:val="0"/>
          <w:numId w:val="1001"/>
        </w:numPr>
        <w:pStyle w:val="Compact"/>
      </w:pPr>
      <w:r>
        <w:rPr>
          <w:bCs/>
          <w:b/>
        </w:rPr>
        <w:t xml:space="preserve">Literature Review and Theoretical Framework Development:</w:t>
      </w:r>
      <w:r>
        <w:t xml:space="preserve"> </w:t>
      </w:r>
      <w:r>
        <w:t xml:space="preserve">Comprehensive review of existing academic literature relevant to the client's research objectives, with emphasis on publications from Ivorian and West African academic journals, as well as international databases. The</w:t>
      </w:r>
      <w:r>
        <w:t xml:space="preserve"> </w:t>
      </w:r>
      <w:r>
        <w:t xml:space="preserve">Academic Researcher</w:t>
      </w:r>
      <w:r>
        <w:t xml:space="preserve"> </w:t>
      </w:r>
      <w:r>
        <w:t xml:space="preserve">will produce a 25-page annotated bibliography and theoretical framework document.</w:t>
      </w:r>
    </w:p>
    <w:p>
      <w:pPr>
        <w:numPr>
          <w:ilvl w:val="0"/>
          <w:numId w:val="1001"/>
        </w:numPr>
        <w:pStyle w:val="Compact"/>
      </w:pPr>
      <w:r>
        <w:rPr>
          <w:bCs/>
          <w:b/>
        </w:rPr>
        <w:t xml:space="preserve">Field Data Collection in Abidjan:</w:t>
      </w:r>
      <w:r>
        <w:t xml:space="preserve"> </w:t>
      </w:r>
      <w:r>
        <w:t xml:space="preserve">Design and execution of primary data collection instruments (structured questionnaires, semi-structured interview guides, and focus group protocols) targeting a minimum of 350 respondents across the six communes of Abidjan (Cocody, Plateau, Yopougon, Abobo, Treichville, and Marcory). The</w:t>
      </w:r>
      <w:r>
        <w:t xml:space="preserve"> </w:t>
      </w:r>
      <w:r>
        <w:t xml:space="preserve">Academic Researcher</w:t>
      </w:r>
      <w:r>
        <w:t xml:space="preserve"> </w:t>
      </w:r>
      <w:r>
        <w:t xml:space="preserve">will coordinate with local community leaders and municipal authorities to ensure ethical access and informed consent.</w:t>
      </w:r>
    </w:p>
    <w:p>
      <w:pPr>
        <w:numPr>
          <w:ilvl w:val="0"/>
          <w:numId w:val="1001"/>
        </w:numPr>
        <w:pStyle w:val="Compact"/>
      </w:pPr>
      <w:r>
        <w:rPr>
          <w:bCs/>
          <w:b/>
        </w:rPr>
        <w:t xml:space="preserve">Quantitative and Qualitative Data Analysis:</w:t>
      </w:r>
      <w:r>
        <w:t xml:space="preserve"> </w:t>
      </w:r>
      <w:r>
        <w:t xml:space="preserve">Statistical analysis using SPSS and NVivo software, including regression modeling, thematic coding, and triangulation of findings. The</w:t>
      </w:r>
      <w:r>
        <w:t xml:space="preserve"> </w:t>
      </w:r>
      <w:r>
        <w:t xml:space="preserve">Academic Researcher</w:t>
      </w:r>
      <w:r>
        <w:t xml:space="preserve"> </w:t>
      </w:r>
      <w:r>
        <w:t xml:space="preserve">will produce a 40-page analytical report with visual data representations.</w:t>
      </w:r>
    </w:p>
    <w:p>
      <w:pPr>
        <w:numPr>
          <w:ilvl w:val="0"/>
          <w:numId w:val="1001"/>
        </w:numPr>
        <w:pStyle w:val="Compact"/>
      </w:pPr>
      <w:r>
        <w:rPr>
          <w:bCs/>
          <w:b/>
        </w:rPr>
        <w:t xml:space="preserve">Policy Brief and Academic Paper Drafting:</w:t>
      </w:r>
      <w:r>
        <w:t xml:space="preserve"> </w:t>
      </w:r>
      <w:r>
        <w:t xml:space="preserve">Preparation of a 10-page policy brief tailored for the Ivorian government or relevant international development agencies, and a 30-page manuscript suitable for submission to a peer-reviewed journal indexed in Scopus or Web of Science.</w:t>
      </w:r>
    </w:p>
    <w:p>
      <w:pPr>
        <w:numPr>
          <w:ilvl w:val="0"/>
          <w:numId w:val="1001"/>
        </w:numPr>
        <w:pStyle w:val="Compact"/>
      </w:pPr>
      <w:r>
        <w:rPr>
          <w:bCs/>
          <w:b/>
        </w:rPr>
        <w:t xml:space="preserve">Stakeholder Presentation and Dissemination:</w:t>
      </w:r>
      <w:r>
        <w:t xml:space="preserve"> </w:t>
      </w:r>
      <w:r>
        <w:t xml:space="preserve">Delivery of a formal presentation of findings to a panel of stakeholders in Abidjan, including representatives from the Ivorian Ministry of Planning, the United Nations Development Programme (UNDP) office in Abidjan, and local academic institutions.</w:t>
      </w:r>
    </w:p>
    <w:p>
      <w:pPr>
        <w:numPr>
          <w:ilvl w:val="0"/>
          <w:numId w:val="1001"/>
        </w:numPr>
        <w:pStyle w:val="Compact"/>
      </w:pPr>
      <w:r>
        <w:rPr>
          <w:bCs/>
          <w:b/>
        </w:rPr>
        <w:t xml:space="preserve">Project Management and Reporting:</w:t>
      </w:r>
      <w:r>
        <w:t xml:space="preserve"> </w:t>
      </w:r>
      <w:r>
        <w:t xml:space="preserve">Bi-weekly progress reports, a final project report, and a post-engagement debriefing session with the client.</w:t>
      </w:r>
    </w:p>
    <w:bookmarkEnd w:id="22"/>
    <w:bookmarkStart w:id="23" w:name="project-timeline"/>
    <w:p>
      <w:pPr>
        <w:pStyle w:val="Heading2"/>
      </w:pPr>
      <w:r>
        <w:t xml:space="preserve">3. Project Timeline</w:t>
      </w:r>
    </w:p>
    <w:p>
      <w:pPr>
        <w:pStyle w:val="FirstParagraph"/>
      </w:pPr>
      <w:r>
        <w:t xml:space="preserve">The total duration of the</w:t>
      </w:r>
      <w:r>
        <w:t xml:space="preserve"> </w:t>
      </w:r>
      <w:r>
        <w:t xml:space="preserve">Academic Researcher</w:t>
      </w:r>
      <w:r>
        <w:t xml:space="preserve"> </w:t>
      </w:r>
      <w:r>
        <w:t xml:space="preserve">engagement in</w:t>
      </w:r>
      <w:r>
        <w:t xml:space="preserve"> </w:t>
      </w:r>
      <w:r>
        <w:t xml:space="preserve">Ivory Coast Abidjan</w:t>
      </w:r>
      <w:r>
        <w:t xml:space="preserve"> </w:t>
      </w:r>
      <w:r>
        <w:t xml:space="preserve">is estimated at</w:t>
      </w:r>
      <w:r>
        <w:t xml:space="preserve"> </w:t>
      </w:r>
      <w:r>
        <w:rPr>
          <w:bCs/>
          <w:b/>
        </w:rPr>
        <w:t xml:space="preserve">fourteen (14) weeks</w:t>
      </w:r>
      <w:r>
        <w:t xml:space="preserve">, commencing upon written acceptance of this</w:t>
      </w:r>
      <w:r>
        <w:t xml:space="preserve"> </w:t>
      </w:r>
      <w:r>
        <w:t xml:space="preserve">Quotation Estimate</w:t>
      </w:r>
      <w:r>
        <w:t xml:space="preserve"> </w:t>
      </w:r>
      <w:r>
        <w:t xml:space="preserve">and execution of the formal service agreement. The timeline is structured as follows:</w:t>
      </w:r>
    </w:p>
    <w:p>
      <w:pPr>
        <w:numPr>
          <w:ilvl w:val="0"/>
          <w:numId w:val="1002"/>
        </w:numPr>
        <w:pStyle w:val="Compact"/>
      </w:pPr>
      <w:r>
        <w:t xml:space="preserve">Weeks 1–2: Literature review, instrument design, and ethical clearance from the Ivorian National Ethics Committee.</w:t>
      </w:r>
    </w:p>
    <w:p>
      <w:pPr>
        <w:numPr>
          <w:ilvl w:val="0"/>
          <w:numId w:val="1002"/>
        </w:numPr>
        <w:pStyle w:val="Compact"/>
      </w:pPr>
      <w:r>
        <w:t xml:space="preserve">Weeks 3–7: Field data collection across Abidjan communes.</w:t>
      </w:r>
    </w:p>
    <w:p>
      <w:pPr>
        <w:numPr>
          <w:ilvl w:val="0"/>
          <w:numId w:val="1002"/>
        </w:numPr>
        <w:pStyle w:val="Compact"/>
      </w:pPr>
      <w:r>
        <w:t xml:space="preserve">Weeks 8–10: Data cleaning, statistical analysis, and qualitative coding.</w:t>
      </w:r>
    </w:p>
    <w:p>
      <w:pPr>
        <w:numPr>
          <w:ilvl w:val="0"/>
          <w:numId w:val="1002"/>
        </w:numPr>
        <w:pStyle w:val="Compact"/>
      </w:pPr>
      <w:r>
        <w:t xml:space="preserve">Weeks 11–12: Report writing, policy brief drafting, and manuscript preparation.</w:t>
      </w:r>
    </w:p>
    <w:p>
      <w:pPr>
        <w:numPr>
          <w:ilvl w:val="0"/>
          <w:numId w:val="1002"/>
        </w:numPr>
        <w:pStyle w:val="Compact"/>
      </w:pPr>
      <w:r>
        <w:t xml:space="preserve">Weeks 13–14: Stakeholder presentation, final deliverable submission, and project closeout.</w:t>
      </w:r>
    </w:p>
    <w:bookmarkEnd w:id="23"/>
    <w:bookmarkStart w:id="24" w:name="financial-breakdown-quotation-estimate"/>
    <w:p>
      <w:pPr>
        <w:pStyle w:val="Heading2"/>
      </w:pPr>
      <w:r>
        <w:t xml:space="preserve">4. Financial Breakdown – Quotation Estimate</w:t>
      </w:r>
    </w:p>
    <w:p>
      <w:pPr>
        <w:pStyle w:val="FirstParagraph"/>
      </w:pPr>
      <w:r>
        <w:t xml:space="preserve">The following</w:t>
      </w:r>
      <w:r>
        <w:t xml:space="preserve"> </w:t>
      </w:r>
      <w:r>
        <w:t xml:space="preserve">Quotation Estimate</w:t>
      </w:r>
      <w:r>
        <w:t xml:space="preserve"> </w:t>
      </w:r>
      <w:r>
        <w:t xml:space="preserve">provides a detailed cost breakdown for the</w:t>
      </w:r>
      <w:r>
        <w:t xml:space="preserve"> </w:t>
      </w:r>
      <w:r>
        <w:t xml:space="preserve">Academic Researcher</w:t>
      </w:r>
      <w:r>
        <w:t xml:space="preserve"> </w:t>
      </w:r>
      <w:r>
        <w:t xml:space="preserve">services to be rendered in</w:t>
      </w:r>
      <w:r>
        <w:t xml:space="preserve"> </w:t>
      </w:r>
      <w:r>
        <w:t xml:space="preserve">Ivory Coast Abidjan</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Description</w:t>
            </w:r>
          </w:p>
        </w:tc>
        <w:tc>
          <w:tcPr/>
          <w:p>
            <w:pPr>
              <w:pStyle w:val="Compact"/>
              <w:jc w:val="left"/>
            </w:pPr>
            <w:r>
              <w:t xml:space="preserve">Cost (XOF)</w:t>
            </w:r>
          </w:p>
        </w:tc>
        <w:tc>
          <w:tcPr/>
          <w:p>
            <w:pPr>
              <w:pStyle w:val="Compact"/>
              <w:jc w:val="left"/>
            </w:pPr>
            <w:r>
              <w:t xml:space="preserve">Cost (USD)</w:t>
            </w:r>
          </w:p>
        </w:tc>
      </w:tr>
      <w:tr>
        <w:tc>
          <w:tcPr/>
          <w:p>
            <w:pPr>
              <w:pStyle w:val="Compact"/>
              <w:jc w:val="left"/>
            </w:pPr>
            <w:r>
              <w:t xml:space="preserve">1. Professional Fee – Academic Researcher</w:t>
            </w:r>
          </w:p>
        </w:tc>
        <w:tc>
          <w:tcPr/>
          <w:p>
            <w:pPr>
              <w:pStyle w:val="Compact"/>
              <w:jc w:val="left"/>
            </w:pPr>
            <w:r>
              <w:t xml:space="preserve">14 weeks of dedicated research time, including all intellectual labor, analysis, and writing</w:t>
            </w:r>
          </w:p>
        </w:tc>
        <w:tc>
          <w:tcPr/>
          <w:p>
            <w:pPr>
              <w:pStyle w:val="Compact"/>
              <w:jc w:val="left"/>
            </w:pPr>
            <w:r>
              <w:t xml:space="preserve">8,400,000</w:t>
            </w:r>
          </w:p>
        </w:tc>
        <w:tc>
          <w:tcPr/>
          <w:p>
            <w:pPr>
              <w:pStyle w:val="Compact"/>
              <w:jc w:val="left"/>
            </w:pPr>
            <w:r>
              <w:t xml:space="preserve">14,000</w:t>
            </w:r>
          </w:p>
        </w:tc>
      </w:tr>
      <w:tr>
        <w:tc>
          <w:tcPr/>
          <w:p>
            <w:pPr>
              <w:pStyle w:val="Compact"/>
              <w:jc w:val="left"/>
            </w:pPr>
            <w:r>
              <w:t xml:space="preserve">2. Fieldwork and Data Collection</w:t>
            </w:r>
          </w:p>
        </w:tc>
        <w:tc>
          <w:tcPr/>
          <w:p>
            <w:pPr>
              <w:pStyle w:val="Compact"/>
              <w:jc w:val="left"/>
            </w:pPr>
            <w:r>
              <w:t xml:space="preserve">Travel within Abidjan, respondent incentives, transcription services, and local assistant fees (2 research assistants)</w:t>
            </w:r>
          </w:p>
        </w:tc>
        <w:tc>
          <w:tcPr/>
          <w:p>
            <w:pPr>
              <w:pStyle w:val="Compact"/>
              <w:jc w:val="left"/>
            </w:pPr>
            <w:r>
              <w:t xml:space="preserve">3,200,000</w:t>
            </w:r>
          </w:p>
        </w:tc>
        <w:tc>
          <w:tcPr/>
          <w:p>
            <w:pPr>
              <w:pStyle w:val="Compact"/>
              <w:jc w:val="left"/>
            </w:pPr>
            <w:r>
              <w:t xml:space="preserve">5,333</w:t>
            </w:r>
          </w:p>
        </w:tc>
      </w:tr>
      <w:tr>
        <w:tc>
          <w:tcPr/>
          <w:p>
            <w:pPr>
              <w:pStyle w:val="Compact"/>
              <w:jc w:val="left"/>
            </w:pPr>
            <w:r>
              <w:t xml:space="preserve">3. Software and Data Tools</w:t>
            </w:r>
          </w:p>
        </w:tc>
        <w:tc>
          <w:tcPr/>
          <w:p>
            <w:pPr>
              <w:pStyle w:val="Compact"/>
              <w:jc w:val="left"/>
            </w:pPr>
            <w:r>
              <w:t xml:space="preserve">SPSS, NVivo licenses, secure cloud storage, and data management platform access</w:t>
            </w:r>
          </w:p>
        </w:tc>
        <w:tc>
          <w:tcPr/>
          <w:p>
            <w:pPr>
              <w:pStyle w:val="Compact"/>
              <w:jc w:val="left"/>
            </w:pPr>
            <w:r>
              <w:t xml:space="preserve">900,000</w:t>
            </w:r>
          </w:p>
        </w:tc>
        <w:tc>
          <w:tcPr/>
          <w:p>
            <w:pPr>
              <w:pStyle w:val="Compact"/>
              <w:jc w:val="left"/>
            </w:pPr>
            <w:r>
              <w:t xml:space="preserve">1,500</w:t>
            </w:r>
          </w:p>
        </w:tc>
      </w:tr>
      <w:tr>
        <w:tc>
          <w:tcPr/>
          <w:p>
            <w:pPr>
              <w:pStyle w:val="Compact"/>
              <w:jc w:val="left"/>
            </w:pPr>
            <w:r>
              <w:t xml:space="preserve">4. Ethical Clearance and Permits</w:t>
            </w:r>
          </w:p>
        </w:tc>
        <w:tc>
          <w:tcPr/>
          <w:p>
            <w:pPr>
              <w:pStyle w:val="Compact"/>
              <w:jc w:val="left"/>
            </w:pPr>
            <w:r>
              <w:t xml:space="preserve">National Ethics Committee fees, municipal research permits for Abidjan communes, and translation of consent forms into French</w:t>
            </w:r>
          </w:p>
        </w:tc>
        <w:tc>
          <w:tcPr/>
          <w:p>
            <w:pPr>
              <w:pStyle w:val="Compact"/>
              <w:jc w:val="left"/>
            </w:pPr>
            <w:r>
              <w:t xml:space="preserve">650,000</w:t>
            </w:r>
          </w:p>
        </w:tc>
        <w:tc>
          <w:tcPr/>
          <w:p>
            <w:pPr>
              <w:pStyle w:val="Compact"/>
              <w:jc w:val="left"/>
            </w:pPr>
            <w:r>
              <w:t xml:space="preserve">1,083</w:t>
            </w:r>
          </w:p>
        </w:tc>
      </w:tr>
      <w:tr>
        <w:tc>
          <w:tcPr/>
          <w:p>
            <w:pPr>
              <w:pStyle w:val="Compact"/>
              <w:jc w:val="left"/>
            </w:pPr>
            <w:r>
              <w:t xml:space="preserve">5. Stakeholder Presentation and Dissemination</w:t>
            </w:r>
          </w:p>
        </w:tc>
        <w:tc>
          <w:tcPr/>
          <w:p>
            <w:pPr>
              <w:pStyle w:val="Compact"/>
              <w:jc w:val="left"/>
            </w:pPr>
            <w:r>
              <w:t xml:space="preserve">Venue rental in Abidjan, printing of 100 copies of the policy brief, catering, and presentation materials</w:t>
            </w:r>
          </w:p>
        </w:tc>
        <w:tc>
          <w:tcPr/>
          <w:p>
            <w:pPr>
              <w:pStyle w:val="Compact"/>
              <w:jc w:val="left"/>
            </w:pPr>
            <w:r>
              <w:t xml:space="preserve">1,150,000</w:t>
            </w:r>
          </w:p>
        </w:tc>
        <w:tc>
          <w:tcPr/>
          <w:p>
            <w:pPr>
              <w:pStyle w:val="Compact"/>
              <w:jc w:val="left"/>
            </w:pPr>
            <w:r>
              <w:t xml:space="preserve">1,917</w:t>
            </w:r>
          </w:p>
        </w:tc>
      </w:tr>
      <w:tr>
        <w:tc>
          <w:tcPr/>
          <w:p>
            <w:pPr>
              <w:pStyle w:val="Compact"/>
              <w:jc w:val="left"/>
            </w:pPr>
            <w:r>
              <w:t xml:space="preserve">6. Project Management and Reporting</w:t>
            </w:r>
          </w:p>
        </w:tc>
        <w:tc>
          <w:tcPr/>
          <w:p>
            <w:pPr>
              <w:pStyle w:val="Compact"/>
              <w:jc w:val="left"/>
            </w:pPr>
            <w:r>
              <w:t xml:space="preserve">Bi-weekly reporting, final project documentation, and administrative coordination</w:t>
            </w:r>
          </w:p>
        </w:tc>
        <w:tc>
          <w:tcPr/>
          <w:p>
            <w:pPr>
              <w:pStyle w:val="Compact"/>
              <w:jc w:val="left"/>
            </w:pPr>
            <w:r>
              <w:t xml:space="preserve">700,000</w:t>
            </w:r>
          </w:p>
        </w:tc>
        <w:tc>
          <w:tcPr/>
          <w:p>
            <w:pPr>
              <w:pStyle w:val="Compact"/>
              <w:jc w:val="left"/>
            </w:pPr>
            <w:r>
              <w:t xml:space="preserve">1,167</w:t>
            </w:r>
          </w:p>
        </w:tc>
      </w:tr>
      <w:tr>
        <w:tc>
          <w:tcPr/>
          <w:p>
            <w:pPr>
              <w:pStyle w:val="Compact"/>
              <w:jc w:val="left"/>
            </w:pPr>
            <w:r>
              <w:t xml:space="preserve">7. Contingency (10%)</w:t>
            </w:r>
          </w:p>
        </w:tc>
        <w:tc>
          <w:tcPr/>
          <w:p>
            <w:pPr>
              <w:pStyle w:val="Compact"/>
              <w:jc w:val="left"/>
            </w:pPr>
            <w:r>
              <w:t xml:space="preserve">Unforeseen expenses, currency fluctuation buffer, and schedule adjustments</w:t>
            </w:r>
          </w:p>
        </w:tc>
        <w:tc>
          <w:tcPr/>
          <w:p>
            <w:pPr>
              <w:pStyle w:val="Compact"/>
              <w:jc w:val="left"/>
            </w:pPr>
            <w:r>
              <w:t xml:space="preserve">1,500,000</w:t>
            </w:r>
          </w:p>
        </w:tc>
        <w:tc>
          <w:tcPr/>
          <w:p>
            <w:pPr>
              <w:pStyle w:val="Compact"/>
              <w:jc w:val="left"/>
            </w:pPr>
            <w:r>
              <w:t xml:space="preserve">2,500</w:t>
            </w:r>
          </w:p>
        </w:tc>
      </w:tr>
      <w:tr>
        <w:tc>
          <w:tcPr>
            <w:gridSpan w:val="2"/>
          </w:tcPr>
          <w:p>
            <w:pPr>
              <w:pStyle w:val="Compact"/>
              <w:jc w:val="left"/>
            </w:pPr>
            <w:r>
              <w:rPr>
                <w:bCs/>
                <w:b/>
              </w:rPr>
              <w:t xml:space="preserve">TOTAL QUOTATION ESTIMATE</w:t>
            </w:r>
          </w:p>
        </w:tc>
        <w:tc>
          <w:tcPr/>
          <w:p>
            <w:pPr>
              <w:pStyle w:val="Compact"/>
              <w:jc w:val="left"/>
            </w:pPr>
            <w:r>
              <w:rPr>
                <w:bCs/>
                <w:b/>
              </w:rPr>
              <w:t xml:space="preserve">16,500,000</w:t>
            </w:r>
          </w:p>
        </w:tc>
        <w:tc>
          <w:tcPr/>
          <w:p>
            <w:pPr>
              <w:pStyle w:val="Compact"/>
              <w:jc w:val="left"/>
            </w:pPr>
            <w:r>
              <w:rPr>
                <w:bCs/>
                <w:b/>
              </w:rPr>
              <w:t xml:space="preserve">27,500</w:t>
            </w:r>
          </w:p>
        </w:tc>
      </w:tr>
    </w:tbl>
    <w:p>
      <w:pPr>
        <w:pStyle w:val="BodyText"/>
      </w:pPr>
      <w:r>
        <w:t xml:space="preserve">* Exchange rate used: 1 USD = 600 XOF. All amounts are exclusive of applicable Ivorian Value Added Tax (VAT) at 18%, which will be added if the client is a registered taxable entity in Ivory Coast.</w:t>
      </w:r>
    </w:p>
    <w:bookmarkEnd w:id="24"/>
    <w:bookmarkStart w:id="25" w:name="terms-and-conditions"/>
    <w:p>
      <w:pPr>
        <w:pStyle w:val="Heading2"/>
      </w:pPr>
      <w:r>
        <w:t xml:space="preserve">5. Terms and Conditions</w:t>
      </w:r>
    </w:p>
    <w:p>
      <w:pPr>
        <w:pStyle w:val="FirstParagraph"/>
      </w:pPr>
      <w:r>
        <w:rPr>
          <w:bCs/>
          <w:b/>
        </w:rPr>
        <w:t xml:space="preserve">5.1 Payment Schedule:</w:t>
      </w:r>
      <w:r>
        <w:t xml:space="preserve"> </w:t>
      </w:r>
      <w:r>
        <w:t xml:space="preserve">Payment shall be made in three installments: 40% upon signing of the service agreement, 35% upon completion of field data collection (end of Week 7), and 25% upon delivery of all final deliverables. Payments shall be made via bank transfer to the designated account in Abidjan, Ivory Coast.</w:t>
      </w:r>
    </w:p>
    <w:p>
      <w:pPr>
        <w:pStyle w:val="BodyText"/>
      </w:pPr>
      <w:r>
        <w:rPr>
          <w:bCs/>
          <w:b/>
        </w:rPr>
        <w:t xml:space="preserve">5.2 Validity:</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the</w:t>
      </w:r>
      <w:r>
        <w:t xml:space="preserve"> </w:t>
      </w:r>
      <w:r>
        <w:t xml:space="preserve">Academic Researcher</w:t>
      </w:r>
      <w:r>
        <w:t xml:space="preserve"> </w:t>
      </w:r>
      <w:r>
        <w:t xml:space="preserve">reserves the right to revise pricing due to changes in operational costs, exchange rates, or availability.</w:t>
      </w:r>
    </w:p>
    <w:p>
      <w:pPr>
        <w:pStyle w:val="BodyText"/>
      </w:pPr>
      <w:r>
        <w:rPr>
          <w:bCs/>
          <w:b/>
        </w:rPr>
        <w:t xml:space="preserve">5.3 Intellectual Property:</w:t>
      </w:r>
      <w:r>
        <w:t xml:space="preserve"> </w:t>
      </w:r>
      <w:r>
        <w:t xml:space="preserve">All research outputs, including the analytical report, policy brief, and manuscript, shall be jointly owned by the</w:t>
      </w:r>
      <w:r>
        <w:t xml:space="preserve"> </w:t>
      </w:r>
      <w:r>
        <w:t xml:space="preserve">Academic Researcher</w:t>
      </w:r>
      <w:r>
        <w:t xml:space="preserve"> </w:t>
      </w:r>
      <w:r>
        <w:t xml:space="preserve">and the client, unless otherwise stipulated in a separate intellectual property agreement. The</w:t>
      </w:r>
      <w:r>
        <w:t xml:space="preserve"> </w:t>
      </w:r>
      <w:r>
        <w:t xml:space="preserve">Academic Researcher</w:t>
      </w:r>
      <w:r>
        <w:t xml:space="preserve"> </w:t>
      </w:r>
      <w:r>
        <w:t xml:space="preserve">retains the right to publish findings in peer-reviewed academic journals, subject to a 30-day prior notification to the client.</w:t>
      </w:r>
    </w:p>
    <w:p>
      <w:pPr>
        <w:pStyle w:val="BodyText"/>
      </w:pPr>
      <w:r>
        <w:rPr>
          <w:bCs/>
          <w:b/>
        </w:rPr>
        <w:t xml:space="preserve">5.4 Confidentiality:</w:t>
      </w:r>
      <w:r>
        <w:t xml:space="preserve"> </w:t>
      </w:r>
      <w:r>
        <w:t xml:space="preserve">The</w:t>
      </w:r>
      <w:r>
        <w:t xml:space="preserve"> </w:t>
      </w:r>
      <w:r>
        <w:t xml:space="preserve">Academic Researcher</w:t>
      </w:r>
      <w:r>
        <w:t xml:space="preserve"> </w:t>
      </w:r>
      <w:r>
        <w:t xml:space="preserve">and all research assistants shall adhere to strict confidentiality protocols in accordance with Ivorian data protection law (Loi n° 2013-450). All respondent data collected in</w:t>
      </w:r>
      <w:r>
        <w:t xml:space="preserve"> </w:t>
      </w:r>
      <w:r>
        <w:t xml:space="preserve">Ivory Coast Abidjan</w:t>
      </w:r>
      <w:r>
        <w:t xml:space="preserve"> </w:t>
      </w:r>
      <w:r>
        <w:t xml:space="preserve">shall be anonymized and stored on encrypted servers.</w:t>
      </w:r>
    </w:p>
    <w:p>
      <w:pPr>
        <w:pStyle w:val="BodyText"/>
      </w:pPr>
      <w:r>
        <w:rPr>
          <w:bCs/>
          <w:b/>
        </w:rPr>
        <w:t xml:space="preserve">5.5 Cancellation and Termination:</w:t>
      </w:r>
      <w:r>
        <w:t xml:space="preserve"> </w:t>
      </w:r>
      <w:r>
        <w:t xml:space="preserve">Either party may terminate the engagement with thirty (30) days written notice. In the event of early termination, the client shall be liable for all costs incurred up to the date of termination, as documented in the project log.</w:t>
      </w:r>
    </w:p>
    <w:p>
      <w:pPr>
        <w:pStyle w:val="BodyText"/>
      </w:pPr>
      <w:r>
        <w:rPr>
          <w:bCs/>
          <w:b/>
        </w:rPr>
        <w:t xml:space="preserve">5.6 Governing Law:</w:t>
      </w:r>
      <w:r>
        <w:t xml:space="preserve"> </w:t>
      </w:r>
      <w:r>
        <w:t xml:space="preserve">This agreement shall be governed by and construed in accordance with the laws of the Republic of Ivory Coast. Any disputes arising from this</w:t>
      </w:r>
      <w:r>
        <w:t xml:space="preserve"> </w:t>
      </w:r>
      <w:r>
        <w:t xml:space="preserve">Quotation Estimate</w:t>
      </w:r>
      <w:r>
        <w:t xml:space="preserve"> </w:t>
      </w:r>
      <w:r>
        <w:t xml:space="preserve">or the subsequent service agreement shall be resolved through arbitration in Abidjan, Ivory Coast, in accordance with the rules of the Ivorian Chamber of Commerce.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Academic Researcher</w:t>
      </w:r>
      <w:r>
        <w:t xml:space="preserve"> </w:t>
      </w:r>
      <w:r>
        <w:t xml:space="preserve">services in</w:t>
      </w:r>
      <w:r>
        <w:t xml:space="preserve"> </w:t>
      </w:r>
      <w:r>
        <w:t xml:space="preserve">Ivory Coast Abidjan</w:t>
      </w:r>
      <w:r>
        <w:t xml:space="preserve"> </w:t>
      </w:r>
      <w:r>
        <w:t xml:space="preserve">and agrees to the terms and conditions outlined herein. This acceptance does not constitute a binding contract until a formal service agreement is executed by both parties.</w:t>
      </w:r>
    </w:p>
    <w:p>
      <w:pPr>
        <w:pStyle w:val="BodyText"/>
      </w:pPr>
      <w:r>
        <w:rPr>
          <w:bCs/>
          <w:b/>
        </w:rPr>
        <w:t xml:space="preserve">For the Academic Researcher / Provider:</w:t>
      </w:r>
    </w:p>
    <w:p>
      <w:pPr>
        <w:pStyle w:val="BodyText"/>
      </w:pPr>
      <w:r>
        <w:t xml:space="preserve">Dr. Amani Kouassi</w:t>
      </w:r>
      <w:r>
        <w:br/>
      </w:r>
      <w:r>
        <w:t xml:space="preserve">Lead Academic Researcher</w:t>
      </w:r>
      <w:r>
        <w:br/>
      </w:r>
      <w:r>
        <w:t xml:space="preserve">Abidjan Research Consortium</w:t>
      </w:r>
      <w:r>
        <w:br/>
      </w:r>
      <w:r>
        <w:t xml:space="preserve">Date: _______________</w:t>
      </w:r>
    </w:p>
    <w:p>
      <w:pPr>
        <w:pStyle w:val="BodyText"/>
      </w:pPr>
      <w:r>
        <w:rPr>
          <w:bCs/>
          <w:b/>
        </w:rPr>
        <w:t xml:space="preserve">For the Client / Requesting Party:</w:t>
      </w:r>
    </w:p>
    <w:p>
      <w:pPr>
        <w:pStyle w:val="BodyText"/>
      </w:pPr>
      <w:r>
        <w:t xml:space="preserve">Name: _______________</w:t>
      </w:r>
      <w:r>
        <w:br/>
      </w:r>
      <w:r>
        <w:t xml:space="preserve">Title: _______________</w:t>
      </w:r>
      <w:r>
        <w:br/>
      </w:r>
      <w:r>
        <w:t xml:space="preserve">Institution: _______________</w:t>
      </w:r>
      <w:r>
        <w:br/>
      </w:r>
      <w:r>
        <w:t xml:space="preserve">Date: _______________</w:t>
      </w:r>
    </w:p>
    <w:p>
      <w:pPr>
        <w:pStyle w:val="BodyText"/>
      </w:pPr>
      <w:r>
        <w:t xml:space="preserve">This Quotation Estimate document was prepared exclusively for the client named above and is not transferable. All research activities will be conducted in full compliance with the regulations of the Ivorian Ministry of Higher Education and Scientific Research and the ethical standards of the Ivorian National Research Ethics Committee. For inquiries regarding this Quotation Estimate, please contact the Abidjan Research Consortium at Boulevard de Vridi, Cocody, Abidjan, Ivory Coast.</w:t>
      </w:r>
    </w:p>
    <w:p>
      <w:pPr>
        <w:pStyle w:val="BodyText"/>
      </w:pPr>
      <w:r>
        <w:t xml:space="preserve">Document Reference: QTE-2025-IVC-0472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Ivory Coast Abidjan</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