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quotation-estimate"/>
    <w:p>
      <w:pPr>
        <w:pStyle w:val="Heading1"/>
      </w:pPr>
      <w:r>
        <w:t xml:space="preserve">QUOTATION ESTIMATE</w:t>
      </w:r>
    </w:p>
    <w:p>
      <w:pPr>
        <w:pStyle w:val="FirstParagraph"/>
      </w:pPr>
      <w:r>
        <w:t xml:space="preserve">Professional Academic Researcher Services</w:t>
      </w:r>
    </w:p>
    <w:p>
      <w:pPr>
        <w:pStyle w:val="BodyText"/>
      </w:pPr>
      <w:r>
        <w:t xml:space="preserve">Kenya Nairobi | Republic of Kenya</w:t>
      </w:r>
    </w:p>
    <w:p>
      <w:pPr>
        <w:pStyle w:val="BodyText"/>
      </w:pPr>
      <w:r>
        <w:t xml:space="preserve">Document Reference: QTE-KNR-2025-0472</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Date of Issue:</w:t>
            </w:r>
          </w:p>
        </w:tc>
        <w:tc>
          <w:tcPr/>
          <w:p>
            <w:pPr>
              <w:pStyle w:val="Compact"/>
              <w:jc w:val="left"/>
            </w:pPr>
            <w:r>
              <w:t xml:space="preserve">15 June 2025</w:t>
            </w:r>
          </w:p>
        </w:tc>
        <w:tc>
          <w:tcPr/>
          <w:p>
            <w:pPr>
              <w:pStyle w:val="Compact"/>
              <w:jc w:val="left"/>
            </w:pPr>
            <w:r>
              <w:t xml:space="preserve">Quotation Validity:</w:t>
            </w:r>
          </w:p>
        </w:tc>
        <w:tc>
          <w:tcPr/>
          <w:p>
            <w:pPr>
              <w:pStyle w:val="Compact"/>
              <w:jc w:val="left"/>
            </w:pPr>
            <w:r>
              <w:t xml:space="preserve">30 Days (15 July 2025)</w:t>
            </w:r>
          </w:p>
        </w:tc>
      </w:tr>
      <w:tr>
        <w:tc>
          <w:tcPr/>
          <w:p>
            <w:pPr>
              <w:pStyle w:val="Compact"/>
              <w:jc w:val="left"/>
            </w:pPr>
            <w:r>
              <w:t xml:space="preserve">Prepared By:</w:t>
            </w:r>
          </w:p>
        </w:tc>
        <w:tc>
          <w:tcPr/>
          <w:p>
            <w:pPr>
              <w:pStyle w:val="Compact"/>
              <w:jc w:val="left"/>
            </w:pPr>
            <w:r>
              <w:t xml:space="preserve">Dr. Wanjiru M. Kamau, Lead Academic Researcher</w:t>
            </w:r>
          </w:p>
        </w:tc>
        <w:tc>
          <w:tcPr/>
          <w:p>
            <w:pPr>
              <w:pStyle w:val="Compact"/>
              <w:jc w:val="left"/>
            </w:pPr>
            <w:r>
              <w:t xml:space="preserve">Location of Service:</w:t>
            </w:r>
          </w:p>
        </w:tc>
        <w:tc>
          <w:tcPr/>
          <w:p>
            <w:pPr>
              <w:pStyle w:val="Compact"/>
              <w:jc w:val="left"/>
            </w:pPr>
            <w:r>
              <w:t xml:space="preserve">Nairobi, Kenya</w:t>
            </w:r>
          </w:p>
        </w:tc>
      </w:tr>
      <w:tr>
        <w:tc>
          <w:tcPr/>
          <w:p>
            <w:pPr>
              <w:pStyle w:val="Compact"/>
              <w:jc w:val="left"/>
            </w:pPr>
            <w:r>
              <w:t xml:space="preserve">Client / Requesting Party:</w:t>
            </w:r>
          </w:p>
        </w:tc>
        <w:tc>
          <w:tcPr/>
          <w:p>
            <w:pPr>
              <w:pStyle w:val="Compact"/>
              <w:jc w:val="left"/>
            </w:pPr>
            <w:r>
              <w:t xml:space="preserve">East African Institute of Development Studies (EAIDS)</w:t>
            </w:r>
          </w:p>
        </w:tc>
        <w:tc>
          <w:tcPr/>
          <w:p>
            <w:pPr>
              <w:pStyle w:val="Compact"/>
              <w:jc w:val="left"/>
            </w:pPr>
            <w:r>
              <w:t xml:space="preserve">Client Address:</w:t>
            </w:r>
          </w:p>
        </w:tc>
        <w:tc>
          <w:tcPr/>
          <w:p>
            <w:pPr>
              <w:pStyle w:val="Compact"/>
              <w:jc w:val="left"/>
            </w:pPr>
            <w:r>
              <w:t xml:space="preserve">University Avenue, Nairobi, Kenya</w:t>
            </w:r>
          </w:p>
        </w:tc>
      </w:tr>
      <w:tr>
        <w:tc>
          <w:tcPr/>
          <w:p>
            <w:pPr>
              <w:pStyle w:val="Compact"/>
              <w:jc w:val="left"/>
            </w:pPr>
            <w:r>
              <w:t xml:space="preserve">Contact Person:</w:t>
            </w:r>
          </w:p>
        </w:tc>
        <w:tc>
          <w:tcPr/>
          <w:p>
            <w:pPr>
              <w:pStyle w:val="Compact"/>
              <w:jc w:val="left"/>
            </w:pPr>
            <w:r>
              <w:t xml:space="preserve">Prof. James Ochieng, Director of Research</w:t>
            </w:r>
          </w:p>
        </w:tc>
        <w:tc>
          <w:tcPr/>
          <w:p>
            <w:pPr>
              <w:pStyle w:val="Compact"/>
              <w:jc w:val="left"/>
            </w:pPr>
            <w:r>
              <w:t xml:space="preserve">Email:</w:t>
            </w:r>
          </w:p>
        </w:tc>
        <w:tc>
          <w:tcPr/>
          <w:p>
            <w:pPr>
              <w:pStyle w:val="Compact"/>
              <w:jc w:val="left"/>
            </w:pPr>
            <w:r>
              <w:t xml:space="preserve">research@eaids.ac.ke</w:t>
            </w:r>
          </w:p>
        </w:tc>
      </w:tr>
    </w:tbl>
    <w:bookmarkStart w:id="21" w:name="X091f0dfb82768bdcc14fb07ea5eabec314d991f"/>
    <w:p>
      <w:pPr>
        <w:pStyle w:val="Heading2"/>
      </w:pPr>
      <w:r>
        <w:t xml:space="preserve">1. Introduction and Purpose of This Quotation Estimate</w:t>
      </w:r>
    </w:p>
    <w:p>
      <w:pPr>
        <w:pStyle w:val="FirstParagraph"/>
      </w:pPr>
      <w:r>
        <w:t xml:space="preserve">This Quotation Estimate is formally issued to provide a comprehensive and transparent breakdown of costs associated with the engagement of a qualified Academic Researcher for a structured research project to be conducted in Kenya Nairobi. The purpose of this document is to outline the scope of services, deliverables, timelines, and associated financial charges for the client's review and approval. All figures presented in this Quotation Estimate are denominated in Kenyan Shillings (KES) and reflect current market rates for academic research services in the Nairobi metropolitan area.</w:t>
      </w:r>
    </w:p>
    <w:bookmarkEnd w:id="21"/>
    <w:bookmarkStart w:id="22" w:name="Xbb6f56a2991cbb169ae8a31b7a96e8a15a3c0a0"/>
    <w:p>
      <w:pPr>
        <w:pStyle w:val="Heading2"/>
      </w:pPr>
      <w:r>
        <w:t xml:space="preserve">2. Scope of Services – Academic Researcher Engagement</w:t>
      </w:r>
    </w:p>
    <w:p>
      <w:pPr>
        <w:pStyle w:val="FirstParagraph"/>
      </w:pPr>
      <w:r>
        <w:t xml:space="preserve">The Academic Researcher engaged under this Quotation Estimate shall perform the following duties and deliverables within the Kenya Nairobi region:</w:t>
      </w:r>
    </w:p>
    <w:p>
      <w:pPr>
        <w:numPr>
          <w:ilvl w:val="0"/>
          <w:numId w:val="1001"/>
        </w:numPr>
        <w:pStyle w:val="Compact"/>
      </w:pPr>
      <w:r>
        <w:rPr>
          <w:bCs/>
          <w:b/>
        </w:rPr>
        <w:t xml:space="preserve">Literature Review and Desk Research:</w:t>
      </w:r>
      <w:r>
        <w:t xml:space="preserve"> </w:t>
      </w:r>
      <w:r>
        <w:t xml:space="preserve">Conduct a thorough review of existing academic literature, policy documents, and prior research findings relevant to the client's stated research objectives. This includes access to the National Archives of Kenya, the Kenya National Bureau of Statistics (KNBS) data repositories, and the University of Nairobi library resources located in Nairobi.</w:t>
      </w:r>
    </w:p>
    <w:p>
      <w:pPr>
        <w:numPr>
          <w:ilvl w:val="0"/>
          <w:numId w:val="1001"/>
        </w:numPr>
        <w:pStyle w:val="Compact"/>
      </w:pPr>
      <w:r>
        <w:rPr>
          <w:bCs/>
          <w:b/>
        </w:rPr>
        <w:t xml:space="preserve">Field Research and Data Collection:</w:t>
      </w:r>
      <w:r>
        <w:t xml:space="preserve"> </w:t>
      </w:r>
      <w:r>
        <w:t xml:space="preserve">Design and implement primary data collection instruments (structured questionnaires, semi-structured interview guides, and focus group discussion protocols) targeting communities across Nairobi County, including the informal settlements of Kibera, Mathare, and Mukuru. The Academic Researcher shall coordinate with local community leaders and the Nairobi City County Government for ethical clearance and access permissions.</w:t>
      </w:r>
    </w:p>
    <w:p>
      <w:pPr>
        <w:numPr>
          <w:ilvl w:val="0"/>
          <w:numId w:val="1001"/>
        </w:numPr>
        <w:pStyle w:val="Compact"/>
      </w:pPr>
      <w:r>
        <w:rPr>
          <w:bCs/>
          <w:b/>
        </w:rPr>
        <w:t xml:space="preserve">Quantitative and Qualitative Data Analysis:</w:t>
      </w:r>
      <w:r>
        <w:t xml:space="preserve"> </w:t>
      </w:r>
      <w:r>
        <w:t xml:space="preserve">Process, code, and analyse collected data using SPSS, NVivo, and R statistical software. The Academic Researcher shall produce interim analytical reports at the midpoint of the project and a final comprehensive analysis report upon project completion.</w:t>
      </w:r>
    </w:p>
    <w:p>
      <w:pPr>
        <w:numPr>
          <w:ilvl w:val="0"/>
          <w:numId w:val="1001"/>
        </w:numPr>
        <w:pStyle w:val="Compact"/>
      </w:pPr>
      <w:r>
        <w:rPr>
          <w:bCs/>
          <w:b/>
        </w:rPr>
        <w:t xml:space="preserve">Academic Writing and Report Production:</w:t>
      </w:r>
      <w:r>
        <w:t xml:space="preserve"> </w:t>
      </w:r>
      <w:r>
        <w:t xml:space="preserve">Draft a full-length research report (minimum 80 pages) adhering to the client's formatting guidelines and academic standards. This includes an executive summary, methodology section, findings, discussion, recommendations, and a complete reference list in APA 7th edition format.</w:t>
      </w:r>
    </w:p>
    <w:p>
      <w:pPr>
        <w:numPr>
          <w:ilvl w:val="0"/>
          <w:numId w:val="1001"/>
        </w:numPr>
        <w:pStyle w:val="Compact"/>
      </w:pPr>
      <w:r>
        <w:rPr>
          <w:bCs/>
          <w:b/>
        </w:rPr>
        <w:t xml:space="preserve">Peer Review and Revision Support:</w:t>
      </w:r>
      <w:r>
        <w:t xml:space="preserve"> </w:t>
      </w:r>
      <w:r>
        <w:t xml:space="preserve">Submit the draft report for internal peer review within the Kenya Nairobi academic community and incorporate feedback from at least two independent reviewers before final delivery.</w:t>
      </w:r>
    </w:p>
    <w:p>
      <w:pPr>
        <w:numPr>
          <w:ilvl w:val="0"/>
          <w:numId w:val="1001"/>
        </w:numPr>
        <w:pStyle w:val="Compact"/>
      </w:pPr>
      <w:r>
        <w:rPr>
          <w:bCs/>
          <w:b/>
        </w:rPr>
        <w:t xml:space="preserve">Stakeholder Presentation:</w:t>
      </w:r>
      <w:r>
        <w:t xml:space="preserve"> </w:t>
      </w:r>
      <w:r>
        <w:t xml:space="preserve">Deliver a formal presentation of findings to the client's board and relevant stakeholders at a venue in Nairobi, including preparation of presentation materials and a Q&amp;A session.</w:t>
      </w:r>
    </w:p>
    <w:bookmarkEnd w:id="22"/>
    <w:bookmarkStart w:id="23" w:name="project-timeline"/>
    <w:p>
      <w:pPr>
        <w:pStyle w:val="Heading2"/>
      </w:pPr>
      <w:r>
        <w:t xml:space="preserve">3. Project Timeline</w:t>
      </w:r>
    </w:p>
    <w:p>
      <w:pPr>
        <w:pStyle w:val="FirstParagraph"/>
      </w:pPr>
      <w:r>
        <w:t xml:space="preserve">The total duration of the Academic Researcher engagement in Kenya Nairobi is estimated at fourteen (14) weeks, commencing upon receipt of the signed acceptance of this Quotation Estimate and the initial mobilisation payment. The timeline is structured as follows:</w:t>
      </w:r>
    </w:p>
    <w:p>
      <w:pPr>
        <w:numPr>
          <w:ilvl w:val="0"/>
          <w:numId w:val="1002"/>
        </w:numPr>
        <w:pStyle w:val="Compact"/>
      </w:pPr>
      <w:r>
        <w:t xml:space="preserve">Weeks 1–2: Project mobilisation, ethical clearance, and literature review</w:t>
      </w:r>
    </w:p>
    <w:p>
      <w:pPr>
        <w:numPr>
          <w:ilvl w:val="0"/>
          <w:numId w:val="1002"/>
        </w:numPr>
        <w:pStyle w:val="Compact"/>
      </w:pPr>
      <w:r>
        <w:t xml:space="preserve">Weeks 3–7: Field data collection across Nairobi County</w:t>
      </w:r>
    </w:p>
    <w:p>
      <w:pPr>
        <w:numPr>
          <w:ilvl w:val="0"/>
          <w:numId w:val="1002"/>
        </w:numPr>
        <w:pStyle w:val="Compact"/>
      </w:pPr>
      <w:r>
        <w:t xml:space="preserve">Weeks 8–10: Data processing, coding, and statistical analysis</w:t>
      </w:r>
    </w:p>
    <w:p>
      <w:pPr>
        <w:numPr>
          <w:ilvl w:val="0"/>
          <w:numId w:val="1002"/>
        </w:numPr>
        <w:pStyle w:val="Compact"/>
      </w:pPr>
      <w:r>
        <w:t xml:space="preserve">Weeks 11–13: Report drafting, peer review, and revisions</w:t>
      </w:r>
    </w:p>
    <w:p>
      <w:pPr>
        <w:numPr>
          <w:ilvl w:val="0"/>
          <w:numId w:val="1002"/>
        </w:numPr>
        <w:pStyle w:val="Compact"/>
      </w:pPr>
      <w:r>
        <w:t xml:space="preserve">Week 14: Final report delivery and stakeholder presentation in Nairobi</w:t>
      </w:r>
    </w:p>
    <w:bookmarkEnd w:id="23"/>
    <w:bookmarkStart w:id="24" w:name="itemised-cost-breakdown"/>
    <w:p>
      <w:pPr>
        <w:pStyle w:val="Heading2"/>
      </w:pPr>
      <w:r>
        <w:t xml:space="preserve">4.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Cost (KES)</w:t>
            </w:r>
          </w:p>
        </w:tc>
        <w:tc>
          <w:tcPr/>
          <w:p>
            <w:pPr>
              <w:pStyle w:val="Compact"/>
              <w:jc w:val="left"/>
            </w:pPr>
            <w:r>
              <w:t xml:space="preserve">Total Cost (KES)</w:t>
            </w:r>
          </w:p>
        </w:tc>
      </w:tr>
      <w:tr>
        <w:tc>
          <w:tcPr/>
          <w:p>
            <w:pPr>
              <w:pStyle w:val="Compact"/>
              <w:jc w:val="left"/>
            </w:pPr>
            <w:r>
              <w:t xml:space="preserve">1</w:t>
            </w:r>
          </w:p>
        </w:tc>
        <w:tc>
          <w:tcPr/>
          <w:p>
            <w:pPr>
              <w:pStyle w:val="Compact"/>
              <w:jc w:val="left"/>
            </w:pPr>
            <w:r>
              <w:t xml:space="preserve">Academic Researcher professional fees (senior level, PhD holder)</w:t>
            </w:r>
          </w:p>
        </w:tc>
        <w:tc>
          <w:tcPr/>
          <w:p>
            <w:pPr>
              <w:pStyle w:val="Compact"/>
              <w:jc w:val="left"/>
            </w:pPr>
            <w:r>
              <w:t xml:space="preserve">14 weeks</w:t>
            </w:r>
          </w:p>
        </w:tc>
        <w:tc>
          <w:tcPr/>
          <w:p>
            <w:pPr>
              <w:pStyle w:val="Compact"/>
              <w:jc w:val="left"/>
            </w:pPr>
            <w:r>
              <w:t xml:space="preserve">85,000</w:t>
            </w:r>
          </w:p>
        </w:tc>
        <w:tc>
          <w:tcPr/>
          <w:p>
            <w:pPr>
              <w:pStyle w:val="Compact"/>
              <w:jc w:val="left"/>
            </w:pPr>
            <w:r>
              <w:t xml:space="preserve">1,190,000</w:t>
            </w:r>
          </w:p>
        </w:tc>
      </w:tr>
      <w:tr>
        <w:tc>
          <w:tcPr/>
          <w:p>
            <w:pPr>
              <w:pStyle w:val="Compact"/>
              <w:jc w:val="left"/>
            </w:pPr>
            <w:r>
              <w:t xml:space="preserve">2</w:t>
            </w:r>
          </w:p>
        </w:tc>
        <w:tc>
          <w:tcPr/>
          <w:p>
            <w:pPr>
              <w:pStyle w:val="Compact"/>
              <w:jc w:val="left"/>
            </w:pPr>
            <w:r>
              <w:t xml:space="preserve">Research assistant support (2 persons, part-time)</w:t>
            </w:r>
          </w:p>
        </w:tc>
        <w:tc>
          <w:tcPr/>
          <w:p>
            <w:pPr>
              <w:pStyle w:val="Compact"/>
              <w:jc w:val="left"/>
            </w:pPr>
            <w:r>
              <w:t xml:space="preserve">10 weeks</w:t>
            </w:r>
          </w:p>
        </w:tc>
        <w:tc>
          <w:tcPr/>
          <w:p>
            <w:pPr>
              <w:pStyle w:val="Compact"/>
              <w:jc w:val="left"/>
            </w:pPr>
            <w:r>
              <w:t xml:space="preserve">12,000</w:t>
            </w:r>
          </w:p>
        </w:tc>
        <w:tc>
          <w:tcPr/>
          <w:p>
            <w:pPr>
              <w:pStyle w:val="Compact"/>
              <w:jc w:val="left"/>
            </w:pPr>
            <w:r>
              <w:t xml:space="preserve">240,000</w:t>
            </w:r>
          </w:p>
        </w:tc>
      </w:tr>
      <w:tr>
        <w:tc>
          <w:tcPr/>
          <w:p>
            <w:pPr>
              <w:pStyle w:val="Compact"/>
              <w:jc w:val="left"/>
            </w:pPr>
            <w:r>
              <w:t xml:space="preserve">3</w:t>
            </w:r>
          </w:p>
        </w:tc>
        <w:tc>
          <w:tcPr/>
          <w:p>
            <w:pPr>
              <w:pStyle w:val="Compact"/>
              <w:jc w:val="left"/>
            </w:pPr>
            <w:r>
              <w:t xml:space="preserve">Field travel and transport within Nairobi County</w:t>
            </w:r>
          </w:p>
        </w:tc>
        <w:tc>
          <w:tcPr/>
          <w:p>
            <w:pPr>
              <w:pStyle w:val="Compact"/>
              <w:jc w:val="left"/>
            </w:pPr>
            <w:r>
              <w:t xml:space="preserve">5 weeks</w:t>
            </w:r>
          </w:p>
        </w:tc>
        <w:tc>
          <w:tcPr/>
          <w:p>
            <w:pPr>
              <w:pStyle w:val="Compact"/>
              <w:jc w:val="left"/>
            </w:pPr>
            <w:r>
              <w:t xml:space="preserve">18,000</w:t>
            </w:r>
          </w:p>
        </w:tc>
        <w:tc>
          <w:tcPr/>
          <w:p>
            <w:pPr>
              <w:pStyle w:val="Compact"/>
              <w:jc w:val="left"/>
            </w:pPr>
            <w:r>
              <w:t xml:space="preserve">90,000</w:t>
            </w:r>
          </w:p>
        </w:tc>
      </w:tr>
      <w:tr>
        <w:tc>
          <w:tcPr/>
          <w:p>
            <w:pPr>
              <w:pStyle w:val="Compact"/>
              <w:jc w:val="left"/>
            </w:pPr>
            <w:r>
              <w:t xml:space="preserve">4</w:t>
            </w:r>
          </w:p>
        </w:tc>
        <w:tc>
          <w:tcPr/>
          <w:p>
            <w:pPr>
              <w:pStyle w:val="Compact"/>
              <w:jc w:val="left"/>
            </w:pPr>
            <w:r>
              <w:t xml:space="preserve">Survey instruments, printing, and data collection materials</w:t>
            </w:r>
          </w:p>
        </w:tc>
        <w:tc>
          <w:tcPr/>
          <w:p>
            <w:pPr>
              <w:pStyle w:val="Compact"/>
              <w:jc w:val="left"/>
            </w:pPr>
            <w:r>
              <w:t xml:space="preserve">1 lot</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5</w:t>
            </w:r>
          </w:p>
        </w:tc>
        <w:tc>
          <w:tcPr/>
          <w:p>
            <w:pPr>
              <w:pStyle w:val="Compact"/>
              <w:jc w:val="left"/>
            </w:pPr>
            <w:r>
              <w:t xml:space="preserve">Software licences (SPSS, NVivo, R Studio) – project duration</w:t>
            </w:r>
          </w:p>
        </w:tc>
        <w:tc>
          <w:tcPr/>
          <w:p>
            <w:pPr>
              <w:pStyle w:val="Compact"/>
              <w:jc w:val="left"/>
            </w:pPr>
            <w:r>
              <w:t xml:space="preserve">14 weeks</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6</w:t>
            </w:r>
          </w:p>
        </w:tc>
        <w:tc>
          <w:tcPr/>
          <w:p>
            <w:pPr>
              <w:pStyle w:val="Compact"/>
              <w:jc w:val="left"/>
            </w:pPr>
            <w:r>
              <w:t xml:space="preserve">Ethical clearance and community engagement fees (Nairobi County)</w:t>
            </w:r>
          </w:p>
        </w:tc>
        <w:tc>
          <w:tcPr/>
          <w:p>
            <w:pPr>
              <w:pStyle w:val="Compact"/>
              <w:jc w:val="left"/>
            </w:pPr>
            <w:r>
              <w:t xml:space="preserve">1 lot</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7</w:t>
            </w:r>
          </w:p>
        </w:tc>
        <w:tc>
          <w:tcPr/>
          <w:p>
            <w:pPr>
              <w:pStyle w:val="Compact"/>
              <w:jc w:val="left"/>
            </w:pPr>
            <w:r>
              <w:t xml:space="preserve">Peer review fees (2 independent academic reviewers)</w:t>
            </w:r>
          </w:p>
        </w:tc>
        <w:tc>
          <w:tcPr/>
          <w:p>
            <w:pPr>
              <w:pStyle w:val="Compact"/>
              <w:jc w:val="left"/>
            </w:pPr>
            <w:r>
              <w:t xml:space="preserve">2 reviews</w:t>
            </w:r>
          </w:p>
        </w:tc>
        <w:tc>
          <w:tcPr/>
          <w:p>
            <w:pPr>
              <w:pStyle w:val="Compact"/>
              <w:jc w:val="left"/>
            </w:pPr>
            <w:r>
              <w:t xml:space="preserve">20,000</w:t>
            </w:r>
          </w:p>
        </w:tc>
        <w:tc>
          <w:tcPr/>
          <w:p>
            <w:pPr>
              <w:pStyle w:val="Compact"/>
              <w:jc w:val="left"/>
            </w:pPr>
            <w:r>
              <w:t xml:space="preserve">40,000</w:t>
            </w:r>
          </w:p>
        </w:tc>
      </w:tr>
      <w:tr>
        <w:tc>
          <w:tcPr/>
          <w:p>
            <w:pPr>
              <w:pStyle w:val="Compact"/>
              <w:jc w:val="left"/>
            </w:pPr>
            <w:r>
              <w:t xml:space="preserve">8</w:t>
            </w:r>
          </w:p>
        </w:tc>
        <w:tc>
          <w:tcPr/>
          <w:p>
            <w:pPr>
              <w:pStyle w:val="Compact"/>
              <w:jc w:val="left"/>
            </w:pPr>
            <w:r>
              <w:t xml:space="preserve">Stakeholder presentation and venue hire (Nairobi)</w:t>
            </w:r>
          </w:p>
        </w:tc>
        <w:tc>
          <w:tcPr/>
          <w:p>
            <w:pPr>
              <w:pStyle w:val="Compact"/>
              <w:jc w:val="left"/>
            </w:pPr>
            <w:r>
              <w:t xml:space="preserve">1 event</w:t>
            </w:r>
          </w:p>
        </w:tc>
        <w:tc>
          <w:tcPr/>
          <w:p>
            <w:pPr>
              <w:pStyle w:val="Compact"/>
              <w:jc w:val="left"/>
            </w:pPr>
            <w:r>
              <w:t xml:space="preserve">30,000</w:t>
            </w:r>
          </w:p>
        </w:tc>
        <w:tc>
          <w:tcPr/>
          <w:p>
            <w:pPr>
              <w:pStyle w:val="Compact"/>
              <w:jc w:val="left"/>
            </w:pPr>
            <w:r>
              <w:t xml:space="preserve">30,000</w:t>
            </w:r>
          </w:p>
        </w:tc>
      </w:tr>
      <w:tr>
        <w:tc>
          <w:tcPr/>
          <w:p>
            <w:pPr>
              <w:pStyle w:val="Compact"/>
              <w:jc w:val="left"/>
            </w:pPr>
            <w:r>
              <w:t xml:space="preserve">9</w:t>
            </w:r>
          </w:p>
        </w:tc>
        <w:tc>
          <w:tcPr/>
          <w:p>
            <w:pPr>
              <w:pStyle w:val="Compact"/>
              <w:jc w:val="left"/>
            </w:pPr>
            <w:r>
              <w:t xml:space="preserve">Communication, stationery, and administrative overheads</w:t>
            </w:r>
          </w:p>
        </w:tc>
        <w:tc>
          <w:tcPr/>
          <w:p>
            <w:pPr>
              <w:pStyle w:val="Compact"/>
              <w:jc w:val="left"/>
            </w:pPr>
            <w:r>
              <w:t xml:space="preserve">14 weeks</w:t>
            </w:r>
          </w:p>
        </w:tc>
        <w:tc>
          <w:tcPr/>
          <w:p>
            <w:pPr>
              <w:pStyle w:val="Compact"/>
              <w:jc w:val="left"/>
            </w:pPr>
            <w:r>
              <w:t xml:space="preserve">8,000</w:t>
            </w:r>
          </w:p>
        </w:tc>
        <w:tc>
          <w:tcPr/>
          <w:p>
            <w:pPr>
              <w:pStyle w:val="Compact"/>
              <w:jc w:val="left"/>
            </w:pPr>
            <w:r>
              <w:t xml:space="preserve">112,000</w:t>
            </w:r>
          </w:p>
        </w:tc>
      </w:tr>
      <w:tr>
        <w:tc>
          <w:tcPr/>
          <w:p>
            <w:pPr>
              <w:pStyle w:val="Compact"/>
              <w:jc w:val="left"/>
            </w:pPr>
            <w:r>
              <w:t xml:space="preserve">10</w:t>
            </w:r>
          </w:p>
        </w:tc>
        <w:tc>
          <w:tcPr/>
          <w:p>
            <w:pPr>
              <w:pStyle w:val="Compact"/>
              <w:jc w:val="left"/>
            </w:pPr>
            <w:r>
              <w:t xml:space="preserve">Contingency allowance (5% of subtotal)</w:t>
            </w:r>
          </w:p>
        </w:tc>
        <w:tc>
          <w:tcPr/>
          <w:p>
            <w:pPr>
              <w:pStyle w:val="Compact"/>
              <w:jc w:val="left"/>
            </w:pPr>
            <w:r>
              <w:t xml:space="preserve">1 lot</w:t>
            </w:r>
          </w:p>
        </w:tc>
        <w:tc>
          <w:tcPr/>
          <w:p>
            <w:pPr>
              <w:pStyle w:val="Compact"/>
              <w:jc w:val="left"/>
            </w:pPr>
            <w:r>
              <w:t xml:space="preserve">—</w:t>
            </w:r>
          </w:p>
        </w:tc>
        <w:tc>
          <w:tcPr/>
          <w:p>
            <w:pPr>
              <w:pStyle w:val="Compact"/>
              <w:jc w:val="left"/>
            </w:pPr>
            <w:r>
              <w:t xml:space="preserve">95,700</w:t>
            </w:r>
          </w:p>
        </w:tc>
      </w:tr>
      <w:tr>
        <w:tc>
          <w:tcPr>
            <w:gridSpan w:val="4"/>
          </w:tcPr>
          <w:p>
            <w:pPr>
              <w:pStyle w:val="Compact"/>
              <w:jc w:val="left"/>
            </w:pPr>
            <w:r>
              <w:t xml:space="preserve">GRAND TOTAL (Inclusive of all charges)</w:t>
            </w:r>
          </w:p>
        </w:tc>
        <w:tc>
          <w:tcPr/>
          <w:p>
            <w:pPr>
              <w:pStyle w:val="Compact"/>
              <w:jc w:val="left"/>
            </w:pPr>
            <w:r>
              <w:t xml:space="preserve">1,902,700</w:t>
            </w:r>
          </w:p>
        </w:tc>
      </w:tr>
    </w:tbl>
    <w:p>
      <w:pPr>
        <w:pStyle w:val="BodyText"/>
      </w:pPr>
      <w:r>
        <w:rPr>
          <w:bCs/>
          <w:b/>
        </w:rPr>
        <w:t xml:space="preserve">Grand Total in Words:</w:t>
      </w:r>
      <w:r>
        <w:t xml:space="preserve"> </w:t>
      </w:r>
      <w:r>
        <w:t xml:space="preserve">One Million Nine Hundred and Two Thousand Seven Hundred Kenyan Shillings Only (KES 1,902,700).</w:t>
      </w:r>
    </w:p>
    <w:bookmarkEnd w:id="24"/>
    <w:bookmarkStart w:id="25" w:name="payment-terms-and-schedule"/>
    <w:p>
      <w:pPr>
        <w:pStyle w:val="Heading2"/>
      </w:pPr>
      <w:r>
        <w:t xml:space="preserve">5. Payment Terms and Schedule</w:t>
      </w:r>
    </w:p>
    <w:p>
      <w:pPr>
        <w:pStyle w:val="FirstParagraph"/>
      </w:pPr>
      <w:r>
        <w:t xml:space="preserve">This Quotation Estimate stipulates the following payment schedule to be adhered to by the client:</w:t>
      </w:r>
    </w:p>
    <w:p>
      <w:pPr>
        <w:pStyle w:val="BodyText"/>
      </w:pPr>
      <w:r>
        <w:rPr>
          <w:bCs/>
          <w:b/>
        </w:rPr>
        <w:t xml:space="preserve">30% Advance Payment (KES 570,810):</w:t>
      </w:r>
      <w:r>
        <w:t xml:space="preserve"> </w:t>
      </w:r>
      <w:r>
        <w:t xml:space="preserve">Due within seven (7) working days of signed acceptance of this Quotation Estimate, to cover mobilisation, ethical clearance, and initial procurement of materials in Kenya Nairobi.</w:t>
      </w:r>
    </w:p>
    <w:p>
      <w:pPr>
        <w:pStyle w:val="BodyText"/>
      </w:pPr>
      <w:r>
        <w:rPr>
          <w:bCs/>
          <w:b/>
        </w:rPr>
        <w:t xml:space="preserve">40% Mid-Project Payment (KES 761,080):</w:t>
      </w:r>
      <w:r>
        <w:t xml:space="preserve"> </w:t>
      </w:r>
      <w:r>
        <w:t xml:space="preserve">Due upon submission and acceptance of the interim data analysis report at the end of Week 10.</w:t>
      </w:r>
    </w:p>
    <w:p>
      <w:pPr>
        <w:pStyle w:val="BodyText"/>
      </w:pPr>
      <w:r>
        <w:rPr>
          <w:bCs/>
          <w:b/>
        </w:rPr>
        <w:t xml:space="preserve">30% Final Payment (KES 570,810):</w:t>
      </w:r>
      <w:r>
        <w:t xml:space="preserve"> </w:t>
      </w:r>
      <w:r>
        <w:t xml:space="preserve">Due within fourteen (14) days of delivery of the final research report and completion of the stakeholder presentation in Nairobi.</w:t>
      </w:r>
    </w:p>
    <w:p>
      <w:pPr>
        <w:pStyle w:val="BodyText"/>
      </w:pPr>
      <w:r>
        <w:t xml:space="preserve">All payments shall be made via bank transfer to the Academic Researcher's designated account. Late payments shall attract a penalty of 1.5% per month as per standard commercial practice in Kenya.</w:t>
      </w:r>
    </w:p>
    <w:bookmarkEnd w:id="25"/>
    <w:bookmarkStart w:id="26" w:name="terms-and-conditions"/>
    <w:p>
      <w:pPr>
        <w:pStyle w:val="Heading2"/>
      </w:pPr>
      <w:r>
        <w:t xml:space="preserve">6. Terms and Conditions</w:t>
      </w:r>
    </w:p>
    <w:p>
      <w:pPr>
        <w:pStyle w:val="FirstParagraph"/>
      </w:pPr>
      <w:r>
        <w:t xml:space="preserve">6.1 This Quotation Estimate is valid for thirty (30) calendar days from the date of issue. Beyond this period, all rates are subject to revision based on prevailing economic conditions in Kenya Nairobi.</w:t>
      </w:r>
    </w:p>
    <w:p>
      <w:pPr>
        <w:pStyle w:val="BodyText"/>
      </w:pPr>
      <w:r>
        <w:t xml:space="preserve">6.2 The Academic Researcher reserves the right to withdraw from this engagement if the advance payment is not received within the stipulated timeframe.</w:t>
      </w:r>
    </w:p>
    <w:p>
      <w:pPr>
        <w:pStyle w:val="BodyText"/>
      </w:pPr>
      <w:r>
        <w:t xml:space="preserve">6.3 All intellectual property rights in the final research report shall vest with the client upon full and final payment, subject to the Academic Researcher's right to cite the work in future academic publications with proper attribution.</w:t>
      </w:r>
    </w:p>
    <w:p>
      <w:pPr>
        <w:pStyle w:val="BodyText"/>
      </w:pPr>
      <w:r>
        <w:t xml:space="preserve">6.4 The Academic Researcher shall comply with all applicable Kenyan data protection laws, including the Data Protection Act, 2019, and shall ensure informed consent is obtained from all research participants in Kenya Nairobi.</w:t>
      </w:r>
    </w:p>
    <w:p>
      <w:pPr>
        <w:pStyle w:val="BodyText"/>
      </w:pPr>
      <w:r>
        <w:t xml:space="preserve">6.5 Any changes to the scope of work outlined in this Quotation Estimate must be agreed upon in writing by both parties and may result in a revised cost estimate.</w:t>
      </w:r>
    </w:p>
    <w:p>
      <w:pPr>
        <w:pStyle w:val="BodyText"/>
      </w:pPr>
      <w:r>
        <w:t xml:space="preserve">6.6 This Quotation Estimate does not constitute a binding contract until countersigned by both parties. The formal service agreement shall be executed separately.</w:t>
      </w:r>
    </w:p>
    <w:bookmarkEnd w:id="26"/>
    <w:bookmarkStart w:id="27" w:name="acceptance-and-authorisation"/>
    <w:p>
      <w:pPr>
        <w:pStyle w:val="Heading2"/>
      </w:pPr>
      <w:r>
        <w:t xml:space="preserve">7. Acceptance and Authorisation</w:t>
      </w:r>
    </w:p>
    <w:p>
      <w:pPr>
        <w:pStyle w:val="FirstParagraph"/>
      </w:pPr>
      <w:r>
        <w:rPr>
          <w:bCs/>
          <w:b/>
        </w:rPr>
        <w:t xml:space="preserve">For and on behalf of the Client:</w:t>
      </w:r>
    </w:p>
    <w:p>
      <w:pPr>
        <w:pStyle w:val="BodyText"/>
      </w:pPr>
      <w:r>
        <w:t xml:space="preserve">East African Institute of Development Studies</w:t>
      </w:r>
    </w:p>
    <w:p>
      <w:pPr>
        <w:pStyle w:val="BodyText"/>
      </w:pPr>
      <w:r>
        <w:t xml:space="preserve">Name: Prof. James Ochieng</w:t>
      </w:r>
      <w:r>
        <w:br/>
      </w:r>
      <w:r>
        <w:t xml:space="preserve">Title: Director of Research</w:t>
      </w:r>
      <w:r>
        <w:br/>
      </w:r>
      <w:r>
        <w:t xml:space="preserve">Signature: _________________________</w:t>
      </w:r>
      <w:r>
        <w:br/>
      </w:r>
      <w:r>
        <w:t xml:space="preserve">Date: _________________________</w:t>
      </w:r>
    </w:p>
    <w:p>
      <w:pPr>
        <w:pStyle w:val="BodyText"/>
      </w:pPr>
      <w:r>
        <w:rPr>
          <w:bCs/>
          <w:b/>
        </w:rPr>
        <w:t xml:space="preserve">For and on behalf of the Academic Researcher:</w:t>
      </w:r>
    </w:p>
    <w:p>
      <w:pPr>
        <w:pStyle w:val="BodyText"/>
      </w:pPr>
      <w:r>
        <w:t xml:space="preserve">Dr. Wanjiru M. Kamau</w:t>
      </w:r>
    </w:p>
    <w:p>
      <w:pPr>
        <w:pStyle w:val="BodyText"/>
      </w:pPr>
      <w:r>
        <w:t xml:space="preserve">Name: Dr. Wanjiru M. Kamau</w:t>
      </w:r>
      <w:r>
        <w:br/>
      </w:r>
      <w:r>
        <w:t xml:space="preserve">Title: Senior Academic Researcher</w:t>
      </w:r>
      <w:r>
        <w:br/>
      </w:r>
      <w:r>
        <w:t xml:space="preserve">Signature: _________________________</w:t>
      </w:r>
      <w:r>
        <w:br/>
      </w:r>
      <w:r>
        <w:t xml:space="preserve">Date: _________________________</w:t>
      </w:r>
    </w:p>
    <w:p>
      <w:pPr>
        <w:pStyle w:val="BodyText"/>
      </w:pPr>
      <w:r>
        <w:rPr>
          <w:bCs/>
          <w:b/>
        </w:rPr>
        <w:t xml:space="preserve">Note:</w:t>
      </w:r>
      <w:r>
        <w:t xml:space="preserve"> </w:t>
      </w:r>
      <w:r>
        <w:t xml:space="preserve">This Quotation Estimate has been prepared specifically for the Kenya Nairobi region and reflects local cost structures, regulatory requirements, and academic standards. All services will be delivered in accordance with the ethical guidelines of the National Commission for Science, Technology and Innovation (NACOSTI), Kenya. For queries regarding this Quotation Estimate, please contact the undersigned Academic Researcher at research@kamau-academics.co.ke or +254 700 123 456.</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Academic Researcher Services - Kenya Nairobi</dc:title>
  <dc:creator/>
  <dc:language>en</dc:language>
  <cp:keywords/>
  <dcterms:created xsi:type="dcterms:W3CDTF">2026-10-10T10:20:42Z</dcterms:created>
  <dcterms:modified xsi:type="dcterms:W3CDTF">2026-10-10T10:20:42Z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