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Academic</w:t>
      </w:r>
      <w:r>
        <w:t xml:space="preserve"> </w:t>
      </w:r>
      <w:r>
        <w:t xml:space="preserve">Researcher</w:t>
      </w:r>
      <w:r>
        <w:t xml:space="preserve"> </w:t>
      </w:r>
      <w:r>
        <w:t xml:space="preserve">Services</w:t>
      </w:r>
      <w:r>
        <w:t xml:space="preserve"> </w:t>
      </w:r>
      <w:r>
        <w:t xml:space="preserve">-</w:t>
      </w:r>
      <w:r>
        <w:t xml:space="preserve"> </w:t>
      </w:r>
      <w:r>
        <w:t xml:space="preserve">Malaysia</w:t>
      </w:r>
      <w:r>
        <w:t xml:space="preserve"> </w:t>
      </w:r>
      <w:r>
        <w:t xml:space="preserve">Kuala</w:t>
      </w:r>
      <w:r>
        <w:t xml:space="preserve"> </w:t>
      </w:r>
      <w:r>
        <w:t xml:space="preserve">Lumpur</w:t>
      </w:r>
    </w:p>
    <w:bookmarkStart w:id="20" w:name="quotation-estimate"/>
    <w:p>
      <w:pPr>
        <w:pStyle w:val="Heading1"/>
      </w:pPr>
      <w:r>
        <w:t xml:space="preserve">Quotation Estimate</w:t>
      </w:r>
    </w:p>
    <w:p>
      <w:pPr>
        <w:pStyle w:val="FirstParagraph"/>
      </w:pPr>
      <w:r>
        <w:rPr>
          <w:bCs/>
          <w:b/>
        </w:rPr>
        <w:t xml:space="preserve">ScholarBridge Research Consultancy Sdn. Bhd.</w:t>
      </w:r>
    </w:p>
    <w:p>
      <w:pPr>
        <w:pStyle w:val="BodyText"/>
      </w:pPr>
      <w:r>
        <w:t xml:space="preserve">Level 12, Menara KL, No. 12, Jalan Ampang, 50450</w:t>
      </w:r>
      <w:r>
        <w:t xml:space="preserve"> </w:t>
      </w:r>
      <w:r>
        <w:t xml:space="preserve">Malaysia Kuala Lumpur</w:t>
      </w:r>
    </w:p>
    <w:p>
      <w:pPr>
        <w:pStyle w:val="BodyText"/>
      </w:pPr>
      <w:r>
        <w:t xml:space="preserve">Registration No: 201901045678 (K) | SST Reg: 001234567890</w:t>
      </w:r>
    </w:p>
    <w:p>
      <w:pPr>
        <w:pStyle w:val="BodyText"/>
      </w:pPr>
      <w:r>
        <w:t xml:space="preserve">Email: enquiries@scholarbridgemy.com | Tel: +60 3-2181 4567</w:t>
      </w:r>
    </w:p>
    <w:bookmarkEnd w:id="20"/>
    <w:p>
      <w:pPr>
        <w:pStyle w:val="BodyText"/>
      </w:pPr>
      <w:r>
        <w:rPr>
          <w:bCs/>
          <w:b/>
        </w:rPr>
        <w:t xml:space="preserve">Quotation No:</w:t>
      </w:r>
      <w:r>
        <w:t xml:space="preserve"> </w:t>
      </w:r>
      <w:r>
        <w:t xml:space="preserve">QTE-2025-KL-0847</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Prepared For:</w:t>
      </w:r>
    </w:p>
    <w:p>
      <w:pPr>
        <w:pStyle w:val="BodyText"/>
      </w:pPr>
      <w:r>
        <w:t xml:space="preserve">Dr. Ahmad bin Rashid</w:t>
      </w:r>
    </w:p>
    <w:p>
      <w:pPr>
        <w:pStyle w:val="BodyText"/>
      </w:pPr>
      <w:r>
        <w:t xml:space="preserve">Faculty of Social Sciences</w:t>
      </w:r>
    </w:p>
    <w:p>
      <w:pPr>
        <w:pStyle w:val="BodyText"/>
      </w:pPr>
      <w:r>
        <w:t xml:space="preserve">Universiti Malaya,</w:t>
      </w:r>
      <w:r>
        <w:t xml:space="preserve"> </w:t>
      </w:r>
      <w:r>
        <w:t xml:space="preserve">Malaysia Kuala Lumpur</w:t>
      </w:r>
    </w:p>
    <w:p>
      <w:pPr>
        <w:pStyle w:val="BodyText"/>
      </w:pPr>
      <w:r>
        <w:t xml:space="preserve">Email: a.rashid@um.edu.my</w:t>
      </w:r>
    </w:p>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formally issued by ScholarBridge Research Consultancy Sdn. Bhd. to provide a comprehensive and transparent breakdown of professional fees for the engagement of a qualified</w:t>
      </w:r>
      <w:r>
        <w:t xml:space="preserve"> </w:t>
      </w:r>
      <w:r>
        <w:t xml:space="preserve">Academic Researcher</w:t>
      </w:r>
      <w:r>
        <w:t xml:space="preserve"> </w:t>
      </w:r>
      <w:r>
        <w:t xml:space="preserve">to support ongoing research initiatives at the client's institution in</w:t>
      </w:r>
      <w:r>
        <w:t xml:space="preserve"> </w:t>
      </w:r>
      <w:r>
        <w:t xml:space="preserve">Malaysia Kuala Lumpur</w:t>
      </w:r>
      <w:r>
        <w:t xml:space="preserve">. The scope of work outlined herein has been carefully tailored to meet the specific methodological, analytical, and publication requirements of the commissioned research project. All pricing reflects current market rates for specialist</w:t>
      </w:r>
      <w:r>
        <w:t xml:space="preserve"> </w:t>
      </w:r>
      <w:r>
        <w:t xml:space="preserve">Academic Researcher</w:t>
      </w:r>
      <w:r>
        <w:t xml:space="preserve"> </w:t>
      </w:r>
      <w:r>
        <w:t xml:space="preserve">services within the</w:t>
      </w:r>
      <w:r>
        <w:t xml:space="preserve"> </w:t>
      </w:r>
      <w:r>
        <w:t xml:space="preserve">Malaysia Kuala Lumpur</w:t>
      </w:r>
      <w:r>
        <w:t xml:space="preserve"> </w:t>
      </w:r>
      <w:r>
        <w:t xml:space="preserve">metropolitan area as of the date of this document.</w:t>
      </w:r>
    </w:p>
    <w:bookmarkEnd w:id="21"/>
    <w:bookmarkStart w:id="22" w:name="Xbb6f56a2991cbb169ae8a31b7a96e8a15a3c0a0"/>
    <w:p>
      <w:pPr>
        <w:pStyle w:val="Heading2"/>
      </w:pPr>
      <w:r>
        <w:t xml:space="preserve">2. Scope of Services – Academic Researcher Engagement</w:t>
      </w:r>
    </w:p>
    <w:p>
      <w:pPr>
        <w:pStyle w:val="FirstParagraph"/>
      </w:pPr>
      <w:r>
        <w:t xml:space="preserve">The</w:t>
      </w:r>
      <w:r>
        <w:t xml:space="preserve"> </w:t>
      </w:r>
      <w:r>
        <w:t xml:space="preserve">Academic Researcher</w:t>
      </w:r>
      <w:r>
        <w:t xml:space="preserve"> </w:t>
      </w:r>
      <w:r>
        <w:t xml:space="preserve">engaged under this</w:t>
      </w:r>
      <w:r>
        <w:t xml:space="preserve"> </w:t>
      </w:r>
      <w:r>
        <w:t xml:space="preserve">Quotation Estimate</w:t>
      </w:r>
      <w:r>
        <w:t xml:space="preserve"> </w:t>
      </w:r>
      <w:r>
        <w:t xml:space="preserve">shall perform the following duties and deliverables over a period of twelve (12) months, commencing from the date of contract execution:</w:t>
      </w:r>
    </w:p>
    <w:p>
      <w:pPr>
        <w:numPr>
          <w:ilvl w:val="0"/>
          <w:numId w:val="1001"/>
        </w:numPr>
        <w:pStyle w:val="Compact"/>
      </w:pPr>
      <w:r>
        <w:t xml:space="preserve">Conduct a comprehensive literature review spanning peer-reviewed journals, grey literature, and institutional repositories relevant to the client's research domain in Southeast Asian socio-economic development.</w:t>
      </w:r>
    </w:p>
    <w:p>
      <w:pPr>
        <w:numPr>
          <w:ilvl w:val="0"/>
          <w:numId w:val="1001"/>
        </w:numPr>
        <w:pStyle w:val="Compact"/>
      </w:pPr>
      <w:r>
        <w:t xml:space="preserve">Design and implement a mixed-methods research framework, including quantitative survey instruments (n = 1,200 respondents across</w:t>
      </w:r>
      <w:r>
        <w:t xml:space="preserve"> </w:t>
      </w:r>
      <w:r>
        <w:t xml:space="preserve">Malaysia Kuala Lumpur</w:t>
      </w:r>
      <w:r>
        <w:t xml:space="preserve"> </w:t>
      </w:r>
      <w:r>
        <w:t xml:space="preserve">and surrounding states) and qualitative semi-structured interviews (n = 35 participants).</w:t>
      </w:r>
    </w:p>
    <w:p>
      <w:pPr>
        <w:numPr>
          <w:ilvl w:val="0"/>
          <w:numId w:val="1001"/>
        </w:numPr>
        <w:pStyle w:val="Compact"/>
      </w:pPr>
      <w:r>
        <w:t xml:space="preserve">Perform advanced statistical analysis using SPSS, R, and NVivo software, including structural equation modelling (SEM), thematic coding, and triangulation of findings.</w:t>
      </w:r>
    </w:p>
    <w:p>
      <w:pPr>
        <w:numPr>
          <w:ilvl w:val="0"/>
          <w:numId w:val="1001"/>
        </w:numPr>
        <w:pStyle w:val="Compact"/>
      </w:pPr>
      <w:r>
        <w:t xml:space="preserve">Draft and co-author a minimum of two (2) journal articles targeted at Q1/Q2 indexed publications (e.g.,</w:t>
      </w:r>
      <w:r>
        <w:t xml:space="preserve"> </w:t>
      </w:r>
      <w:r>
        <w:rPr>
          <w:iCs/>
          <w:i/>
        </w:rPr>
        <w:t xml:space="preserve">Asian Journal of Social Science</w:t>
      </w:r>
      <w:r>
        <w:t xml:space="preserve">,</w:t>
      </w:r>
      <w:r>
        <w:t xml:space="preserve"> </w:t>
      </w:r>
      <w:r>
        <w:rPr>
          <w:iCs/>
          <w:i/>
        </w:rPr>
        <w:t xml:space="preserve">Journal of Southeast Asian Studies</w:t>
      </w:r>
      <w:r>
        <w:t xml:space="preserve">).</w:t>
      </w:r>
    </w:p>
    <w:p>
      <w:pPr>
        <w:numPr>
          <w:ilvl w:val="0"/>
          <w:numId w:val="1001"/>
        </w:numPr>
        <w:pStyle w:val="Compact"/>
      </w:pPr>
      <w:r>
        <w:t xml:space="preserve">Prepare a final research report of not less than 80 pages, including executive summary, methodology, findings, discussion, and policy recommendations.</w:t>
      </w:r>
    </w:p>
    <w:p>
      <w:pPr>
        <w:numPr>
          <w:ilvl w:val="0"/>
          <w:numId w:val="1001"/>
        </w:numPr>
        <w:pStyle w:val="Compact"/>
      </w:pPr>
      <w:r>
        <w:t xml:space="preserve">Deliver one (1) presentation of key findings at a national academic conference hosted in</w:t>
      </w:r>
      <w:r>
        <w:t xml:space="preserve"> </w:t>
      </w:r>
      <w:r>
        <w:t xml:space="preserve">Malaysia Kuala Lumpur</w:t>
      </w:r>
      <w:r>
        <w:t xml:space="preserve">.</w:t>
      </w:r>
    </w:p>
    <w:p>
      <w:pPr>
        <w:numPr>
          <w:ilvl w:val="0"/>
          <w:numId w:val="1001"/>
        </w:numPr>
        <w:pStyle w:val="Compact"/>
      </w:pPr>
      <w:r>
        <w:t xml:space="preserve">Provide monthly progress reports and bi-weekly consultation meetings with the client's principal investigator.</w:t>
      </w:r>
    </w:p>
    <w:bookmarkEnd w:id="22"/>
    <w:bookmarkStart w:id="23" w:name="itemised-cost-breakdown"/>
    <w:p>
      <w:pPr>
        <w:pStyle w:val="Heading2"/>
      </w:pPr>
      <w:r>
        <w:t xml:space="preserve">3.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Rate (MYR)</w:t>
            </w:r>
          </w:p>
        </w:tc>
        <w:tc>
          <w:tcPr/>
          <w:p>
            <w:pPr>
              <w:pStyle w:val="Compact"/>
              <w:jc w:val="left"/>
            </w:pPr>
            <w:r>
              <w:t xml:space="preserve">Amount (MYR)</w:t>
            </w:r>
          </w:p>
        </w:tc>
      </w:tr>
      <w:tr>
        <w:tc>
          <w:tcPr/>
          <w:p>
            <w:pPr>
              <w:pStyle w:val="Compact"/>
              <w:jc w:val="left"/>
            </w:pPr>
            <w:r>
              <w:t xml:space="preserve">1</w:t>
            </w:r>
          </w:p>
        </w:tc>
        <w:tc>
          <w:tcPr/>
          <w:p>
            <w:pPr>
              <w:pStyle w:val="Compact"/>
              <w:jc w:val="left"/>
            </w:pPr>
            <w:r>
              <w:t xml:space="preserve">Academic Researcher – Senior Research Fellow (PhD, 10+ years experience) – Monthly professional fee</w:t>
            </w:r>
          </w:p>
        </w:tc>
        <w:tc>
          <w:tcPr/>
          <w:p>
            <w:pPr>
              <w:pStyle w:val="Compact"/>
              <w:jc w:val="left"/>
            </w:pPr>
            <w:r>
              <w:t xml:space="preserve">12 months</w:t>
            </w:r>
          </w:p>
        </w:tc>
        <w:tc>
          <w:tcPr/>
          <w:p>
            <w:pPr>
              <w:pStyle w:val="Compact"/>
              <w:jc w:val="left"/>
            </w:pPr>
            <w:r>
              <w:t xml:space="preserve">18,500.00</w:t>
            </w:r>
          </w:p>
        </w:tc>
        <w:tc>
          <w:tcPr/>
          <w:p>
            <w:pPr>
              <w:pStyle w:val="Compact"/>
              <w:jc w:val="left"/>
            </w:pPr>
            <w:r>
              <w:t xml:space="preserve">222,000.00</w:t>
            </w:r>
          </w:p>
        </w:tc>
      </w:tr>
      <w:tr>
        <w:tc>
          <w:tcPr/>
          <w:p>
            <w:pPr>
              <w:pStyle w:val="Compact"/>
              <w:jc w:val="left"/>
            </w:pPr>
            <w:r>
              <w:t xml:space="preserve">2</w:t>
            </w:r>
          </w:p>
        </w:tc>
        <w:tc>
          <w:tcPr/>
          <w:p>
            <w:pPr>
              <w:pStyle w:val="Compact"/>
              <w:jc w:val="left"/>
            </w:pPr>
            <w:r>
              <w:t xml:space="preserve">Academic Researcher – Junior Research Associate (MPhil) – Monthly professional fee</w:t>
            </w:r>
          </w:p>
        </w:tc>
        <w:tc>
          <w:tcPr/>
          <w:p>
            <w:pPr>
              <w:pStyle w:val="Compact"/>
              <w:jc w:val="left"/>
            </w:pPr>
            <w:r>
              <w:t xml:space="preserve">12 months</w:t>
            </w:r>
          </w:p>
        </w:tc>
        <w:tc>
          <w:tcPr/>
          <w:p>
            <w:pPr>
              <w:pStyle w:val="Compact"/>
              <w:jc w:val="left"/>
            </w:pPr>
            <w:r>
              <w:t xml:space="preserve">9,200.00</w:t>
            </w:r>
          </w:p>
        </w:tc>
        <w:tc>
          <w:tcPr/>
          <w:p>
            <w:pPr>
              <w:pStyle w:val="Compact"/>
              <w:jc w:val="left"/>
            </w:pPr>
            <w:r>
              <w:t xml:space="preserve">110,400.00</w:t>
            </w:r>
          </w:p>
        </w:tc>
      </w:tr>
      <w:tr>
        <w:tc>
          <w:tcPr/>
          <w:p>
            <w:pPr>
              <w:pStyle w:val="Compact"/>
              <w:jc w:val="left"/>
            </w:pPr>
            <w:r>
              <w:t xml:space="preserve">3</w:t>
            </w:r>
          </w:p>
        </w:tc>
        <w:tc>
          <w:tcPr/>
          <w:p>
            <w:pPr>
              <w:pStyle w:val="Compact"/>
              <w:jc w:val="left"/>
            </w:pPr>
            <w:r>
              <w:t xml:space="preserve">Quantitative survey fieldwork – data collection across 5 states in and around Malaysia Kuala Lumpur</w:t>
            </w:r>
          </w:p>
        </w:tc>
        <w:tc>
          <w:tcPr/>
          <w:p>
            <w:pPr>
              <w:pStyle w:val="Compact"/>
              <w:jc w:val="left"/>
            </w:pPr>
            <w:r>
              <w:t xml:space="preserve">1 project</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4</w:t>
            </w:r>
          </w:p>
        </w:tc>
        <w:tc>
          <w:tcPr/>
          <w:p>
            <w:pPr>
              <w:pStyle w:val="Compact"/>
              <w:jc w:val="left"/>
            </w:pPr>
            <w:r>
              <w:t xml:space="preserve">Qualitative interview transcription and thematic analysis (35 interviews, ~450 pages)</w:t>
            </w:r>
          </w:p>
        </w:tc>
        <w:tc>
          <w:tcPr/>
          <w:p>
            <w:pPr>
              <w:pStyle w:val="Compact"/>
              <w:jc w:val="left"/>
            </w:pPr>
            <w:r>
              <w:t xml:space="preserve">1 project</w:t>
            </w:r>
          </w:p>
        </w:tc>
        <w:tc>
          <w:tcPr/>
          <w:p>
            <w:pPr>
              <w:pStyle w:val="Compact"/>
              <w:jc w:val="left"/>
            </w:pPr>
            <w:r>
              <w:t xml:space="preserve">18,750.00</w:t>
            </w:r>
          </w:p>
        </w:tc>
        <w:tc>
          <w:tcPr/>
          <w:p>
            <w:pPr>
              <w:pStyle w:val="Compact"/>
              <w:jc w:val="left"/>
            </w:pPr>
            <w:r>
              <w:t xml:space="preserve">18,750.00</w:t>
            </w:r>
          </w:p>
        </w:tc>
      </w:tr>
      <w:tr>
        <w:tc>
          <w:tcPr/>
          <w:p>
            <w:pPr>
              <w:pStyle w:val="Compact"/>
              <w:jc w:val="left"/>
            </w:pPr>
            <w:r>
              <w:t xml:space="preserve">5</w:t>
            </w:r>
          </w:p>
        </w:tc>
        <w:tc>
          <w:tcPr/>
          <w:p>
            <w:pPr>
              <w:pStyle w:val="Compact"/>
              <w:jc w:val="left"/>
            </w:pPr>
            <w:r>
              <w:t xml:space="preserve">Advanced statistical modelling and data visualisation (SEM, regression, cluster analysis)</w:t>
            </w:r>
          </w:p>
        </w:tc>
        <w:tc>
          <w:tcPr/>
          <w:p>
            <w:pPr>
              <w:pStyle w:val="Compact"/>
              <w:jc w:val="left"/>
            </w:pPr>
            <w:r>
              <w:t xml:space="preserve">1 project</w:t>
            </w:r>
          </w:p>
        </w:tc>
        <w:tc>
          <w:tcPr/>
          <w:p>
            <w:pPr>
              <w:pStyle w:val="Compact"/>
              <w:jc w:val="left"/>
            </w:pPr>
            <w:r>
              <w:t xml:space="preserve">22,000.00</w:t>
            </w:r>
          </w:p>
        </w:tc>
        <w:tc>
          <w:tcPr/>
          <w:p>
            <w:pPr>
              <w:pStyle w:val="Compact"/>
              <w:jc w:val="left"/>
            </w:pPr>
            <w:r>
              <w:t xml:space="preserve">22,000.00</w:t>
            </w:r>
          </w:p>
        </w:tc>
      </w:tr>
      <w:tr>
        <w:tc>
          <w:tcPr/>
          <w:p>
            <w:pPr>
              <w:pStyle w:val="Compact"/>
              <w:jc w:val="left"/>
            </w:pPr>
            <w:r>
              <w:t xml:space="preserve">6</w:t>
            </w:r>
          </w:p>
        </w:tc>
        <w:tc>
          <w:tcPr/>
          <w:p>
            <w:pPr>
              <w:pStyle w:val="Compact"/>
              <w:jc w:val="left"/>
            </w:pPr>
            <w:r>
              <w:t xml:space="preserve">Manuscript preparation, editing, and journal submission support (2 articles)</w:t>
            </w:r>
          </w:p>
        </w:tc>
        <w:tc>
          <w:tcPr/>
          <w:p>
            <w:pPr>
              <w:pStyle w:val="Compact"/>
              <w:jc w:val="left"/>
            </w:pPr>
            <w:r>
              <w:t xml:space="preserve">2 articles</w:t>
            </w:r>
          </w:p>
        </w:tc>
        <w:tc>
          <w:tcPr/>
          <w:p>
            <w:pPr>
              <w:pStyle w:val="Compact"/>
              <w:jc w:val="left"/>
            </w:pPr>
            <w:r>
              <w:t xml:space="preserve">8,500.00</w:t>
            </w:r>
          </w:p>
        </w:tc>
        <w:tc>
          <w:tcPr/>
          <w:p>
            <w:pPr>
              <w:pStyle w:val="Compact"/>
              <w:jc w:val="left"/>
            </w:pPr>
            <w:r>
              <w:t xml:space="preserve">17,000.00</w:t>
            </w:r>
          </w:p>
        </w:tc>
      </w:tr>
      <w:tr>
        <w:tc>
          <w:tcPr/>
          <w:p>
            <w:pPr>
              <w:pStyle w:val="Compact"/>
              <w:jc w:val="left"/>
            </w:pPr>
            <w:r>
              <w:t xml:space="preserve">7</w:t>
            </w:r>
          </w:p>
        </w:tc>
        <w:tc>
          <w:tcPr/>
          <w:p>
            <w:pPr>
              <w:pStyle w:val="Compact"/>
              <w:jc w:val="left"/>
            </w:pPr>
            <w:r>
              <w:t xml:space="preserve">Final research report compilation, formatting, and binding (80+ pages)</w:t>
            </w:r>
          </w:p>
        </w:tc>
        <w:tc>
          <w:tcPr/>
          <w:p>
            <w:pPr>
              <w:pStyle w:val="Compact"/>
              <w:jc w:val="left"/>
            </w:pPr>
            <w:r>
              <w:t xml:space="preserve">1 report</w:t>
            </w:r>
          </w:p>
        </w:tc>
        <w:tc>
          <w:tcPr/>
          <w:p>
            <w:pPr>
              <w:pStyle w:val="Compact"/>
              <w:jc w:val="left"/>
            </w:pPr>
            <w:r>
              <w:t xml:space="preserve">6,500.00</w:t>
            </w:r>
          </w:p>
        </w:tc>
        <w:tc>
          <w:tcPr/>
          <w:p>
            <w:pPr>
              <w:pStyle w:val="Compact"/>
              <w:jc w:val="left"/>
            </w:pPr>
            <w:r>
              <w:t xml:space="preserve">6,500.00</w:t>
            </w:r>
          </w:p>
        </w:tc>
      </w:tr>
      <w:tr>
        <w:tc>
          <w:tcPr/>
          <w:p>
            <w:pPr>
              <w:pStyle w:val="Compact"/>
              <w:jc w:val="left"/>
            </w:pPr>
            <w:r>
              <w:t xml:space="preserve">8</w:t>
            </w:r>
          </w:p>
        </w:tc>
        <w:tc>
          <w:tcPr/>
          <w:p>
            <w:pPr>
              <w:pStyle w:val="Compact"/>
              <w:jc w:val="left"/>
            </w:pPr>
            <w:r>
              <w:t xml:space="preserve">Conference presentation preparation and travel within Malaysia Kuala Lumpur</w:t>
            </w:r>
          </w:p>
        </w:tc>
        <w:tc>
          <w:tcPr/>
          <w:p>
            <w:pPr>
              <w:pStyle w:val="Compact"/>
              <w:jc w:val="left"/>
            </w:pPr>
            <w:r>
              <w:t xml:space="preserve">1 event</w:t>
            </w:r>
          </w:p>
        </w:tc>
        <w:tc>
          <w:tcPr/>
          <w:p>
            <w:pPr>
              <w:pStyle w:val="Compact"/>
              <w:jc w:val="left"/>
            </w:pPr>
            <w:r>
              <w:t xml:space="preserve">4,800.00</w:t>
            </w:r>
          </w:p>
        </w:tc>
        <w:tc>
          <w:tcPr/>
          <w:p>
            <w:pPr>
              <w:pStyle w:val="Compact"/>
              <w:jc w:val="left"/>
            </w:pPr>
            <w:r>
              <w:t xml:space="preserve">4,800.00</w:t>
            </w:r>
          </w:p>
        </w:tc>
      </w:tr>
      <w:tr>
        <w:tc>
          <w:tcPr/>
          <w:p>
            <w:pPr>
              <w:pStyle w:val="Compact"/>
              <w:jc w:val="left"/>
            </w:pPr>
            <w:r>
              <w:t xml:space="preserve">9</w:t>
            </w:r>
          </w:p>
        </w:tc>
        <w:tc>
          <w:tcPr/>
          <w:p>
            <w:pPr>
              <w:pStyle w:val="Compact"/>
              <w:jc w:val="left"/>
            </w:pPr>
            <w:r>
              <w:t xml:space="preserve">Software licences (SPSS, R, NVivo) – annual subscription</w:t>
            </w:r>
          </w:p>
        </w:tc>
        <w:tc>
          <w:tcPr/>
          <w:p>
            <w:pPr>
              <w:pStyle w:val="Compact"/>
              <w:jc w:val="left"/>
            </w:pPr>
            <w:r>
              <w:t xml:space="preserve">12 months</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10</w:t>
            </w:r>
          </w:p>
        </w:tc>
        <w:tc>
          <w:tcPr/>
          <w:p>
            <w:pPr>
              <w:pStyle w:val="Compact"/>
              <w:jc w:val="left"/>
            </w:pPr>
            <w:r>
              <w:t xml:space="preserve">Project management, coordination, and administrative overhead</w:t>
            </w:r>
          </w:p>
        </w:tc>
        <w:tc>
          <w:tcPr/>
          <w:p>
            <w:pPr>
              <w:pStyle w:val="Compact"/>
              <w:jc w:val="left"/>
            </w:pPr>
            <w:r>
              <w:t xml:space="preserve">12 months</w:t>
            </w:r>
          </w:p>
        </w:tc>
        <w:tc>
          <w:tcPr/>
          <w:p>
            <w:pPr>
              <w:pStyle w:val="Compact"/>
              <w:jc w:val="left"/>
            </w:pPr>
            <w:r>
              <w:t xml:space="preserve">5,500.00</w:t>
            </w:r>
          </w:p>
        </w:tc>
        <w:tc>
          <w:tcPr/>
          <w:p>
            <w:pPr>
              <w:pStyle w:val="Compact"/>
              <w:jc w:val="left"/>
            </w:pPr>
            <w:r>
              <w:t xml:space="preserve">66,000.00</w:t>
            </w:r>
          </w:p>
        </w:tc>
      </w:tr>
      <w:tr>
        <w:tc>
          <w:tcPr>
            <w:gridSpan w:val="4"/>
          </w:tcPr>
          <w:p>
            <w:pPr>
              <w:pStyle w:val="Compact"/>
              <w:jc w:val="right"/>
            </w:pPr>
            <w:r>
              <w:t xml:space="preserve">Subtotal (MYR)</w:t>
            </w:r>
          </w:p>
        </w:tc>
        <w:tc>
          <w:tcPr/>
          <w:p>
            <w:pPr>
              <w:pStyle w:val="Compact"/>
              <w:jc w:val="left"/>
            </w:pPr>
            <w:r>
              <w:t xml:space="preserve">515,700.00</w:t>
            </w:r>
          </w:p>
        </w:tc>
      </w:tr>
      <w:tr>
        <w:tc>
          <w:tcPr>
            <w:gridSpan w:val="4"/>
          </w:tcPr>
          <w:p>
            <w:pPr>
              <w:pStyle w:val="Compact"/>
              <w:jc w:val="right"/>
            </w:pPr>
            <w:r>
              <w:t xml:space="preserve">SST @ 6%</w:t>
            </w:r>
          </w:p>
        </w:tc>
        <w:tc>
          <w:tcPr/>
          <w:p>
            <w:pPr>
              <w:pStyle w:val="Compact"/>
              <w:jc w:val="left"/>
            </w:pPr>
            <w:r>
              <w:t xml:space="preserve">30,942.00</w:t>
            </w:r>
          </w:p>
        </w:tc>
      </w:tr>
      <w:tr>
        <w:tc>
          <w:tcPr>
            <w:gridSpan w:val="4"/>
          </w:tcPr>
          <w:p>
            <w:pPr>
              <w:pStyle w:val="Compact"/>
              <w:jc w:val="right"/>
            </w:pPr>
            <w:r>
              <w:t xml:space="preserve">TOTAL AMOUNT DUE (MYR)</w:t>
            </w:r>
          </w:p>
        </w:tc>
        <w:tc>
          <w:tcPr/>
          <w:p>
            <w:pPr>
              <w:pStyle w:val="Compact"/>
              <w:jc w:val="left"/>
            </w:pPr>
            <w:r>
              <w:t xml:space="preserve">546,642.00</w:t>
            </w:r>
          </w:p>
        </w:tc>
      </w:tr>
    </w:tbl>
    <w:bookmarkEnd w:id="23"/>
    <w:bookmarkStart w:id="24" w:name="payment-terms"/>
    <w:p>
      <w:pPr>
        <w:pStyle w:val="Heading2"/>
      </w:pPr>
      <w:r>
        <w:t xml:space="preserve">4. Payment Terms</w:t>
      </w:r>
    </w:p>
    <w:p>
      <w:pPr>
        <w:pStyle w:val="FirstParagraph"/>
      </w:pPr>
      <w:r>
        <w:t xml:space="preserve">Payment for this</w:t>
      </w:r>
      <w:r>
        <w:t xml:space="preserve"> </w:t>
      </w:r>
      <w:r>
        <w:t xml:space="preserve">Quotation Estimate</w:t>
      </w:r>
      <w:r>
        <w:t xml:space="preserve"> </w:t>
      </w:r>
      <w:r>
        <w:t xml:space="preserve">shall be made in three (3) instalments via bank transfer to the account of ScholarBridge Research Consultancy Sdn. Bhd. (Bank: Maybank, Account No: 5123-4567-8901, SWIFT: BMMBMYKL):</w:t>
      </w:r>
    </w:p>
    <w:p>
      <w:pPr>
        <w:numPr>
          <w:ilvl w:val="0"/>
          <w:numId w:val="1002"/>
        </w:numPr>
        <w:pStyle w:val="Compact"/>
      </w:pPr>
      <w:r>
        <w:rPr>
          <w:bCs/>
          <w:b/>
        </w:rPr>
        <w:t xml:space="preserve">Instalment 1 (40%):</w:t>
      </w:r>
      <w:r>
        <w:t xml:space="preserve"> </w:t>
      </w:r>
      <w:r>
        <w:t xml:space="preserve">MYR 218,656.80 – Due upon signing of the service agreement and commencement of the</w:t>
      </w:r>
      <w:r>
        <w:t xml:space="preserve"> </w:t>
      </w:r>
      <w:r>
        <w:t xml:space="preserve">Academic Researcher</w:t>
      </w:r>
      <w:r>
        <w:t xml:space="preserve"> </w:t>
      </w:r>
      <w:r>
        <w:t xml:space="preserve">engagement.</w:t>
      </w:r>
    </w:p>
    <w:p>
      <w:pPr>
        <w:numPr>
          <w:ilvl w:val="0"/>
          <w:numId w:val="1002"/>
        </w:numPr>
        <w:pStyle w:val="Compact"/>
      </w:pPr>
      <w:r>
        <w:rPr>
          <w:bCs/>
          <w:b/>
        </w:rPr>
        <w:t xml:space="preserve">Instalment 2 (35%):</w:t>
      </w:r>
      <w:r>
        <w:t xml:space="preserve"> </w:t>
      </w:r>
      <w:r>
        <w:t xml:space="preserve">MYR 191,324.70 – Due at the six-month milestone upon submission of interim findings and draft manuscripts.</w:t>
      </w:r>
    </w:p>
    <w:p>
      <w:pPr>
        <w:numPr>
          <w:ilvl w:val="0"/>
          <w:numId w:val="1002"/>
        </w:numPr>
        <w:pStyle w:val="Compact"/>
      </w:pPr>
      <w:r>
        <w:rPr>
          <w:bCs/>
          <w:b/>
        </w:rPr>
        <w:t xml:space="preserve">Instalment 3 (25%):</w:t>
      </w:r>
      <w:r>
        <w:t xml:space="preserve"> </w:t>
      </w:r>
      <w:r>
        <w:t xml:space="preserve">MYR 136,660.50 – Due upon delivery of the final research report, published manuscripts, and completion of the conference presentation in</w:t>
      </w:r>
      <w:r>
        <w:t xml:space="preserve"> </w:t>
      </w:r>
      <w:r>
        <w:t xml:space="preserve">Malaysia Kuala Lumpur</w:t>
      </w:r>
      <w:r>
        <w:t xml:space="preserve">.</w:t>
      </w:r>
    </w:p>
    <w:bookmarkEnd w:id="24"/>
    <w:bookmarkStart w:id="25" w:name="terms-and-conditions"/>
    <w:p>
      <w:pPr>
        <w:pStyle w:val="Heading2"/>
      </w:pPr>
      <w:r>
        <w:t xml:space="preserve">5. Terms and Conditions</w:t>
      </w:r>
    </w:p>
    <w:p>
      <w:pPr>
        <w:pStyle w:val="FirstParagraph"/>
      </w:pPr>
      <w:r>
        <w:t xml:space="preserve">5.1. This</w:t>
      </w:r>
      <w:r>
        <w:t xml:space="preserve"> </w:t>
      </w:r>
      <w:r>
        <w:t xml:space="preserve">Quotation Estimate</w:t>
      </w:r>
      <w:r>
        <w:t xml:space="preserve"> </w:t>
      </w:r>
      <w:r>
        <w:t xml:space="preserve">is valid for thirty (30) calendar days from the date of issue. Beyond this period, pricing may be subject to revision based on prevailing market conditions for</w:t>
      </w:r>
      <w:r>
        <w:t xml:space="preserve"> </w:t>
      </w:r>
      <w:r>
        <w:t xml:space="preserve">Academic Researcher</w:t>
      </w:r>
      <w:r>
        <w:t xml:space="preserve"> </w:t>
      </w:r>
      <w:r>
        <w:t xml:space="preserve">services in</w:t>
      </w:r>
      <w:r>
        <w:t xml:space="preserve"> </w:t>
      </w:r>
      <w:r>
        <w:t xml:space="preserve">Malaysia Kuala Lumpur</w:t>
      </w:r>
      <w:r>
        <w:t xml:space="preserve">.</w:t>
      </w:r>
    </w:p>
    <w:p>
      <w:pPr>
        <w:pStyle w:val="BodyText"/>
      </w:pPr>
      <w:r>
        <w:t xml:space="preserve">5.2. All intellectual property rights in the final research outputs shall be jointly owned by the client institution and ScholarBridge Research Consultancy Sdn. Bhd., unless otherwise agreed in writing.</w:t>
      </w:r>
    </w:p>
    <w:p>
      <w:pPr>
        <w:pStyle w:val="BodyText"/>
      </w:pPr>
      <w:r>
        <w:t xml:space="preserve">5.3. The</w:t>
      </w:r>
      <w:r>
        <w:t xml:space="preserve"> </w:t>
      </w:r>
      <w:r>
        <w:t xml:space="preserve">Academic Researcher</w:t>
      </w:r>
      <w:r>
        <w:t xml:space="preserve"> </w:t>
      </w:r>
      <w:r>
        <w:t xml:space="preserve">team shall adhere to the Malaysian Code of Research Ethics and the guidelines set forth by the Ministry of Higher Education of Malaysia.</w:t>
      </w:r>
    </w:p>
    <w:p>
      <w:pPr>
        <w:pStyle w:val="BodyText"/>
      </w:pPr>
      <w:r>
        <w:t xml:space="preserve">5.4. Any changes to the scope of work beyond the parameters described in Section 2 shall require a formal variation order and may result in an amended</w:t>
      </w:r>
      <w:r>
        <w:t xml:space="preserve"> </w:t>
      </w:r>
      <w:r>
        <w:t xml:space="preserve">Quotation Estimate</w:t>
      </w:r>
      <w:r>
        <w:t xml:space="preserve">.</w:t>
      </w:r>
    </w:p>
    <w:p>
      <w:pPr>
        <w:pStyle w:val="BodyText"/>
      </w:pPr>
      <w:r>
        <w:t xml:space="preserve">5.5. This engagement is governed by the laws of Malaysia. Any disputes shall be resolved through arbitration in</w:t>
      </w:r>
      <w:r>
        <w:t xml:space="preserve"> </w:t>
      </w:r>
      <w:r>
        <w:t xml:space="preserve">Malaysia Kuala Lumpur</w:t>
      </w:r>
      <w:r>
        <w:t xml:space="preserve"> </w:t>
      </w:r>
      <w:r>
        <w:t xml:space="preserve">in accordance with the Arbitration Act 2005.</w:t>
      </w:r>
    </w:p>
    <w:p>
      <w:pPr>
        <w:pStyle w:val="BodyText"/>
      </w:pPr>
      <w:r>
        <w:t xml:space="preserve">5.6. The client agrees to provide timely access to institutional data, facilities, and administrative support necessary for the</w:t>
      </w:r>
      <w:r>
        <w:t xml:space="preserve"> </w:t>
      </w:r>
      <w:r>
        <w:t xml:space="preserve">Academic Researcher</w:t>
      </w:r>
      <w:r>
        <w:t xml:space="preserve"> </w:t>
      </w:r>
      <w:r>
        <w:t xml:space="preserve">to fulfil the agreed deliverables.</w:t>
      </w:r>
    </w:p>
    <w:p>
      <w:pPr>
        <w:pStyle w:val="BodyText"/>
      </w:pPr>
      <w:r>
        <w:rPr>
          <w:bCs/>
          <w:b/>
        </w:rPr>
        <w:t xml:space="preserve">Note:</w:t>
      </w:r>
      <w:r>
        <w:t xml:space="preserve"> </w:t>
      </w:r>
      <w:r>
        <w:t xml:space="preserve">This Quotation Estimate does not include costs for international travel, publication page charges, or open-access fees, which shall be borne directly by the client institution. All rates are quoted in Malaysian Ringgit (MYR) and are inclusive of local travel within the Malaysia Kuala Lumpur metropolitan area.</w:t>
      </w:r>
    </w:p>
    <w:bookmarkEnd w:id="25"/>
    <w:bookmarkStart w:id="26" w:name="acceptance-and-authorisation"/>
    <w:p>
      <w:pPr>
        <w:pStyle w:val="Heading2"/>
      </w:pPr>
      <w:r>
        <w:t xml:space="preserve">6. Acceptance and Authorisation</w:t>
      </w:r>
    </w:p>
    <w:p>
      <w:pPr>
        <w:pStyle w:val="FirstParagraph"/>
      </w:pPr>
      <w:r>
        <w:t xml:space="preserve">By signing below, both parties acknowledge and agree to the terms, conditions, and pricing set forth in this</w:t>
      </w:r>
      <w:r>
        <w:t xml:space="preserve"> </w:t>
      </w:r>
      <w:r>
        <w:t xml:space="preserve">Quotation Estimate</w:t>
      </w:r>
      <w:r>
        <w:t xml:space="preserve"> </w:t>
      </w:r>
      <w:r>
        <w:t xml:space="preserve">for the engagement of the</w:t>
      </w:r>
      <w:r>
        <w:t xml:space="preserve"> </w:t>
      </w:r>
      <w:r>
        <w:t xml:space="preserve">Academic Researcher</w:t>
      </w:r>
      <w:r>
        <w:t xml:space="preserve"> </w:t>
      </w:r>
      <w:r>
        <w:t xml:space="preserve">team in</w:t>
      </w:r>
      <w:r>
        <w:t xml:space="preserve"> </w:t>
      </w:r>
      <w:r>
        <w:t xml:space="preserve">Malaysia Kuala Lumpur</w:t>
      </w:r>
      <w:r>
        <w:t xml:space="preserve">.</w:t>
      </w:r>
    </w:p>
    <w:p>
      <w:pPr>
        <w:pStyle w:val="BodyText"/>
      </w:pPr>
      <w:r>
        <w:rPr>
          <w:bCs/>
          <w:b/>
        </w:rPr>
        <w:t xml:space="preserve">For and on behalf of ScholarBridge Research Consultancy Sdn. Bhd.</w:t>
      </w:r>
      <w:r>
        <w:br/>
      </w:r>
      <w:r>
        <w:t xml:space="preserve">Name: Pn. Siti Nurhaliza binti Omar</w:t>
      </w:r>
      <w:r>
        <w:br/>
      </w:r>
      <w:r>
        <w:t xml:space="preserve">Designation: Managing Director</w:t>
      </w:r>
      <w:r>
        <w:br/>
      </w:r>
      <w:r>
        <w:t xml:space="preserve">Date: ______________________</w:t>
      </w:r>
    </w:p>
    <w:p>
      <w:pPr>
        <w:pStyle w:val="BodyText"/>
      </w:pPr>
      <w:r>
        <w:rPr>
          <w:bCs/>
          <w:b/>
        </w:rPr>
        <w:t xml:space="preserve">For and on behalf of the Client (Universiti Malaya)</w:t>
      </w:r>
      <w:r>
        <w:br/>
      </w:r>
      <w:r>
        <w:t xml:space="preserve">Name: Dr. Ahmad bin Rashid</w:t>
      </w:r>
      <w:r>
        <w:br/>
      </w:r>
      <w:r>
        <w:t xml:space="preserve">Designation: Principal Investigator / Faculty Head</w:t>
      </w:r>
      <w:r>
        <w:br/>
      </w:r>
      <w:r>
        <w:t xml:space="preserve">Date: ______________________</w:t>
      </w:r>
    </w:p>
    <w:p>
      <w:pPr>
        <w:pStyle w:val="BodyText"/>
      </w:pPr>
      <w:r>
        <w:t xml:space="preserve">ScholarBridge Research Consultancy Sdn. Bhd. | Level 12, Menara KL, No. 12, Jalan Ampang, 50450 Malaysia Kuala Lumpur</w:t>
      </w:r>
    </w:p>
    <w:p>
      <w:pPr>
        <w:pStyle w:val="BodyText"/>
      </w:pPr>
      <w:r>
        <w:t xml:space="preserve">This Quotation Estimate is a confidential document intended solely for the named recipient. Unauthorised reproduction or distribution is prohibited.</w:t>
      </w:r>
    </w:p>
    <w:p>
      <w:pPr>
        <w:pStyle w:val="BodyText"/>
      </w:pPr>
      <w:r>
        <w:t xml:space="preserve">Document Reference: QTE-2025-KL-0847 | Page 1 of 1</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Academic Researcher Services - Malaysia Kuala Lumpur</dc:title>
  <dc:creator/>
  <dc:language>en</dc:language>
  <cp:keywords/>
  <dcterms:created xsi:type="dcterms:W3CDTF">2026-10-10T13:53:04Z</dcterms:created>
  <dcterms:modified xsi:type="dcterms:W3CDTF">2026-10-10T13:53:04Z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