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Academic Researcher Services — Morocco Casablanca</w:t>
      </w:r>
    </w:p>
    <w:p>
      <w:pPr>
        <w:pStyle w:val="BodyText"/>
      </w:pPr>
      <w:r>
        <w:t xml:space="preserve">Ref: QE-2025-CAS-0472 | Issued: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Youssef El Amrani, Lead Academic Researcher — Atlas Research &amp; Consulting Group</w:t>
            </w:r>
          </w:p>
        </w:tc>
      </w:tr>
      <w:tr>
        <w:tc>
          <w:tcPr/>
          <w:p>
            <w:pPr>
              <w:pStyle w:val="Compact"/>
              <w:jc w:val="left"/>
            </w:pPr>
            <w:r>
              <w:t xml:space="preserve">Office Location</w:t>
            </w:r>
          </w:p>
        </w:tc>
        <w:tc>
          <w:tcPr/>
          <w:p>
            <w:pPr>
              <w:pStyle w:val="Compact"/>
              <w:jc w:val="left"/>
            </w:pPr>
            <w:r>
              <w:t xml:space="preserve">Tour Atlas, 12 Boulevard Mohammed V, Casablanca 20250, Morocco</w:t>
            </w:r>
          </w:p>
        </w:tc>
      </w:tr>
      <w:tr>
        <w:tc>
          <w:tcPr/>
          <w:p>
            <w:pPr>
              <w:pStyle w:val="Compact"/>
              <w:jc w:val="left"/>
            </w:pPr>
            <w:r>
              <w:t xml:space="preserve">Prepared For</w:t>
            </w:r>
          </w:p>
        </w:tc>
        <w:tc>
          <w:tcPr/>
          <w:p>
            <w:pPr>
              <w:pStyle w:val="Compact"/>
              <w:jc w:val="left"/>
            </w:pPr>
            <w:r>
              <w:t xml:space="preserve">Client Name / Institutional Department (to be confirmed upon acceptance)</w:t>
            </w:r>
          </w:p>
        </w:tc>
      </w:tr>
      <w:tr>
        <w:tc>
          <w:tcPr/>
          <w:p>
            <w:pPr>
              <w:pStyle w:val="Compact"/>
              <w:jc w:val="left"/>
            </w:pPr>
            <w:r>
              <w:t xml:space="preserve">Service Region</w:t>
            </w:r>
          </w:p>
        </w:tc>
        <w:tc>
          <w:tcPr/>
          <w:p>
            <w:pPr>
              <w:pStyle w:val="Compact"/>
              <w:jc w:val="left"/>
            </w:pPr>
            <w:r>
              <w:t xml:space="preserve">Morocco Casablanca &amp; surrounding metropolitan area (Greater Casablanca, Mohammedia, Bouskoura)</w:t>
            </w:r>
          </w:p>
        </w:tc>
      </w:tr>
      <w:tr>
        <w:tc>
          <w:tcPr/>
          <w:p>
            <w:pPr>
              <w:pStyle w:val="Compact"/>
              <w:jc w:val="left"/>
            </w:pPr>
            <w:r>
              <w:t xml:space="preserve">Quotation Validity</w:t>
            </w:r>
          </w:p>
        </w:tc>
        <w:tc>
          <w:tcPr/>
          <w:p>
            <w:pPr>
              <w:pStyle w:val="Compact"/>
              <w:jc w:val="left"/>
            </w:pPr>
            <w:r>
              <w:t xml:space="preserve">30 calendar days from the date of issue (expires 15 July 2025)</w:t>
            </w:r>
          </w:p>
        </w:tc>
      </w:tr>
      <w:tr>
        <w:tc>
          <w:tcPr/>
          <w:p>
            <w:pPr>
              <w:pStyle w:val="Compact"/>
              <w:jc w:val="left"/>
            </w:pPr>
            <w:r>
              <w:t xml:space="preserve">Currency</w:t>
            </w:r>
          </w:p>
        </w:tc>
        <w:tc>
          <w:tcPr/>
          <w:p>
            <w:pPr>
              <w:pStyle w:val="Compact"/>
              <w:jc w:val="left"/>
            </w:pPr>
            <w:r>
              <w:t xml:space="preserve">Moroccan Dirham (MAD) / Convertible to EUR or USD upon request</w:t>
            </w:r>
          </w:p>
        </w:tc>
      </w:tr>
    </w:tbl>
    <w:bookmarkStart w:id="21" w:name="Xbc3cca5d43434a430a0f2d92f9e5020ea4b96a2"/>
    <w:p>
      <w:pPr>
        <w:pStyle w:val="Heading2"/>
      </w:pPr>
      <w:r>
        <w:t xml:space="preserve">1. Scope of Work — Academic Researcher Engagement</w:t>
      </w:r>
    </w:p>
    <w:p>
      <w:pPr>
        <w:pStyle w:val="FirstParagraph"/>
      </w:pPr>
      <w:r>
        <w:t xml:space="preserve">This</w:t>
      </w:r>
      <w:r>
        <w:t xml:space="preserve"> </w:t>
      </w:r>
      <w:r>
        <w:t xml:space="preserve">Quotation Estimate</w:t>
      </w:r>
      <w:r>
        <w:t xml:space="preserve"> </w:t>
      </w:r>
      <w:r>
        <w:t xml:space="preserve">outlines the comprehensive professional services to be delivered by a qualified</w:t>
      </w:r>
      <w:r>
        <w:t xml:space="preserve"> </w:t>
      </w:r>
      <w:r>
        <w:t xml:space="preserve">Academic Researcher</w:t>
      </w:r>
      <w:r>
        <w:t xml:space="preserve"> </w:t>
      </w:r>
      <w:r>
        <w:t xml:space="preserve">operating within the</w:t>
      </w:r>
      <w:r>
        <w:t xml:space="preserve"> </w:t>
      </w:r>
      <w:r>
        <w:t xml:space="preserve">Morocco Casablanca</w:t>
      </w:r>
      <w:r>
        <w:t xml:space="preserve"> </w:t>
      </w:r>
      <w:r>
        <w:t xml:space="preserve">metropolitan region. The engagement covers the full lifecycle of a structured research project, from initial literature review and methodological design through data collection, analysis, and the production of a peer-review-ready manuscript or institutional report. The Academic Researcher will be embedded in the client's operational environment in Casablanca, ensuring direct access to local archives, university libraries (including the University Hassan II and Cadi Ayyad satellite facilities), municipal data repositories, and industry partners situated across the Casablanca-Settat region.</w:t>
      </w:r>
    </w:p>
    <w:p>
      <w:pPr>
        <w:pStyle w:val="BodyText"/>
      </w:pPr>
      <w:r>
        <w:t xml:space="preserve">The Academic Researcher brings a minimum of fifteen (15) years of post-doctoral experience in the relevant discipline, with a published track record exceeding forty (40) peer-reviewed articles in international journals. All deliverables will conform to the ethical standards established by the Moroccan National Commission for Scientific Research (CNRST) and the client's institutional review board requirements.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(MAD)</w:t>
            </w:r>
          </w:p>
        </w:tc>
        <w:tc>
          <w:tcPr/>
          <w:p>
            <w:pPr>
              <w:pStyle w:val="Compact"/>
              <w:jc w:val="left"/>
            </w:pPr>
            <w:r>
              <w:t xml:space="preserve">Subtotal (MAD)</w:t>
            </w:r>
          </w:p>
        </w:tc>
      </w:tr>
      <w:tr>
        <w:tc>
          <w:tcPr/>
          <w:p>
            <w:pPr>
              <w:pStyle w:val="Compact"/>
              <w:jc w:val="left"/>
            </w:pPr>
            <w:r>
              <w:t xml:space="preserve">1</w:t>
            </w:r>
          </w:p>
        </w:tc>
        <w:tc>
          <w:tcPr/>
          <w:p>
            <w:pPr>
              <w:pStyle w:val="Compact"/>
              <w:jc w:val="left"/>
            </w:pPr>
            <w:r>
              <w:t xml:space="preserve">Initial consultation, project scoping, and literature review in Morocco Casablanca archives and digital databases</w:t>
            </w:r>
          </w:p>
        </w:tc>
        <w:tc>
          <w:tcPr/>
          <w:p>
            <w:pPr>
              <w:pStyle w:val="Compact"/>
              <w:jc w:val="left"/>
            </w:pPr>
            <w:r>
              <w:t xml:space="preserve">2 weeks</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2</w:t>
            </w:r>
          </w:p>
        </w:tc>
        <w:tc>
          <w:tcPr/>
          <w:p>
            <w:pPr>
              <w:pStyle w:val="Compact"/>
              <w:jc w:val="left"/>
            </w:pPr>
            <w:r>
              <w:t xml:space="preserve">Methodological design, sampling strategy, and ethical clearance preparation (CNRST compliance)</w:t>
            </w:r>
          </w:p>
        </w:tc>
        <w:tc>
          <w:tcPr/>
          <w:p>
            <w:pPr>
              <w:pStyle w:val="Compact"/>
              <w:jc w:val="left"/>
            </w:pPr>
            <w:r>
              <w:t xml:space="preserve">3 weeks</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3</w:t>
            </w:r>
          </w:p>
        </w:tc>
        <w:tc>
          <w:tcPr/>
          <w:p>
            <w:pPr>
              <w:pStyle w:val="Compact"/>
              <w:jc w:val="left"/>
            </w:pPr>
            <w:r>
              <w:t xml:space="preserve">Field data collection — surveys, interviews, and site observations across Casablanca districts</w:t>
            </w:r>
          </w:p>
        </w:tc>
        <w:tc>
          <w:tcPr/>
          <w:p>
            <w:pPr>
              <w:pStyle w:val="Compact"/>
              <w:jc w:val="left"/>
            </w:pPr>
            <w:r>
              <w:t xml:space="preserve">6 weeks</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Quantitative and qualitative data analysis using SPSS, NVivo, and R statistical packages</w:t>
            </w:r>
          </w:p>
        </w:tc>
        <w:tc>
          <w:tcPr/>
          <w:p>
            <w:pPr>
              <w:pStyle w:val="Compact"/>
              <w:jc w:val="left"/>
            </w:pPr>
            <w:r>
              <w:t xml:space="preserve">4 weeks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5</w:t>
            </w:r>
          </w:p>
        </w:tc>
        <w:tc>
          <w:tcPr/>
          <w:p>
            <w:pPr>
              <w:pStyle w:val="Compact"/>
              <w:jc w:val="left"/>
            </w:pPr>
            <w:r>
              <w:t xml:space="preserve">Drafting of the full research manuscript (minimum 40,000 words) with figures, tables, and appendices</w:t>
            </w:r>
          </w:p>
        </w:tc>
        <w:tc>
          <w:tcPr/>
          <w:p>
            <w:pPr>
              <w:pStyle w:val="Compact"/>
              <w:jc w:val="left"/>
            </w:pPr>
            <w:r>
              <w:t xml:space="preserve">5 weeks</w:t>
            </w:r>
          </w:p>
        </w:tc>
        <w:tc>
          <w:tcPr/>
          <w:p>
            <w:pPr>
              <w:pStyle w:val="Compact"/>
              <w:jc w:val="left"/>
            </w:pPr>
            <w:r>
              <w:t xml:space="preserve">30,000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Peer review coordination, revision cycles (up to three rounds), and final formatting for journal submission</w:t>
            </w:r>
          </w:p>
        </w:tc>
        <w:tc>
          <w:tcPr/>
          <w:p>
            <w:pPr>
              <w:pStyle w:val="Compact"/>
              <w:jc w:val="left"/>
            </w:pPr>
            <w:r>
              <w:t xml:space="preserve">3 weeks</w:t>
            </w:r>
          </w:p>
        </w:tc>
        <w:tc>
          <w:tcPr/>
          <w:p>
            <w:pPr>
              <w:pStyle w:val="Compact"/>
              <w:jc w:val="left"/>
            </w:pPr>
            <w:r>
              <w:t xml:space="preserve">20,000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Travel, local transportation within Morocco Casablanca, and administrative overhead</w:t>
            </w:r>
          </w:p>
        </w:tc>
        <w:tc>
          <w:tcPr/>
          <w:p>
            <w:pPr>
              <w:pStyle w:val="Compact"/>
              <w:jc w:val="left"/>
            </w:pPr>
            <w:r>
              <w:t xml:space="preserve">Project duration</w:t>
            </w:r>
          </w:p>
        </w:tc>
        <w:tc>
          <w:tcPr/>
          <w:p>
            <w:pPr>
              <w:pStyle w:val="Compact"/>
              <w:jc w:val="left"/>
            </w:pPr>
            <w:r>
              <w:t xml:space="preserve">5,000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Post-delivery support: Q&amp;A sessions, presentation preparation, and institutional defense assistance</w:t>
            </w:r>
          </w:p>
        </w:tc>
        <w:tc>
          <w:tcPr/>
          <w:p>
            <w:pPr>
              <w:pStyle w:val="Compact"/>
              <w:jc w:val="left"/>
            </w:pPr>
            <w:r>
              <w:t xml:space="preserve">2 weeks</w:t>
            </w:r>
          </w:p>
        </w:tc>
        <w:tc>
          <w:tcPr/>
          <w:p>
            <w:pPr>
              <w:pStyle w:val="Compact"/>
              <w:jc w:val="left"/>
            </w:pPr>
            <w:r>
              <w:t xml:space="preserve">15,000</w:t>
            </w:r>
          </w:p>
        </w:tc>
        <w:tc>
          <w:tcPr/>
          <w:p>
            <w:pPr>
              <w:pStyle w:val="Compact"/>
              <w:jc w:val="left"/>
            </w:pPr>
            <w:r>
              <w:t xml:space="preserve">30,000</w:t>
            </w:r>
          </w:p>
        </w:tc>
      </w:tr>
      <w:tr>
        <w:tc>
          <w:tcPr>
            <w:gridSpan w:val="4"/>
          </w:tcPr>
          <w:p>
            <w:pPr>
              <w:pStyle w:val="Compact"/>
              <w:jc w:val="right"/>
            </w:pPr>
            <w:r>
              <w:t xml:space="preserve">TOTAL ESTIMATED COST (excl. 20% VAT):</w:t>
            </w:r>
          </w:p>
        </w:tc>
        <w:tc>
          <w:tcPr/>
          <w:p>
            <w:pPr>
              <w:pStyle w:val="Compact"/>
              <w:jc w:val="left"/>
            </w:pPr>
            <w:r>
              <w:t xml:space="preserve">625,000 MAD</w:t>
            </w:r>
          </w:p>
        </w:tc>
      </w:tr>
      <w:tr>
        <w:tc>
          <w:tcPr>
            <w:gridSpan w:val="4"/>
          </w:tcPr>
          <w:p>
            <w:pPr>
              <w:pStyle w:val="Compact"/>
              <w:jc w:val="right"/>
            </w:pPr>
            <w:r>
              <w:t xml:space="preserve">VAT (20% — Moroccan tax code):</w:t>
            </w:r>
          </w:p>
        </w:tc>
        <w:tc>
          <w:tcPr/>
          <w:p>
            <w:pPr>
              <w:pStyle w:val="Compact"/>
              <w:jc w:val="left"/>
            </w:pPr>
            <w:r>
              <w:t xml:space="preserve">125,000 MAD</w:t>
            </w:r>
          </w:p>
        </w:tc>
      </w:tr>
      <w:tr>
        <w:tc>
          <w:tcPr>
            <w:gridSpan w:val="4"/>
          </w:tcPr>
          <w:p>
            <w:pPr>
              <w:pStyle w:val="Compact"/>
              <w:jc w:val="right"/>
            </w:pPr>
            <w:r>
              <w:t xml:space="preserve">GRAND TOTAL (incl. VAT):</w:t>
            </w:r>
          </w:p>
        </w:tc>
        <w:tc>
          <w:tcPr/>
          <w:p>
            <w:pPr>
              <w:pStyle w:val="Compact"/>
              <w:jc w:val="left"/>
            </w:pPr>
            <w:r>
              <w:t xml:space="preserve">750,000 MAD</w:t>
            </w:r>
          </w:p>
        </w:tc>
      </w:tr>
    </w:tbl>
    <w:bookmarkEnd w:id="22"/>
    <w:bookmarkStart w:id="23" w:name="payment-schedule"/>
    <w:p>
      <w:pPr>
        <w:pStyle w:val="Heading2"/>
      </w:pPr>
      <w:r>
        <w:t xml:space="preserve">3. Payment Schedule</w:t>
      </w:r>
    </w:p>
    <w:p>
      <w:pPr>
        <w:pStyle w:val="FirstParagraph"/>
      </w:pPr>
      <w:r>
        <w:t xml:space="preserve">Payment for this Quotation Estimate shall be structured in four (4) installments tied to project milestones: 25% upon contract signature, 30% upon completion of data collection, 30% upon delivery of the final manuscript, and 15% upon successful peer review acceptance. All payments are to be made via bank transfer to the Atlas Research &amp; Consulting Group account at Attijariwafa Bank, Casablanca branch. Late payments are subject to a 1.5% monthly interest charge in accordance with Moroccan commercial law.</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non-binding until formally accepted in writing by both parties and countersigned by the designated Academic Researcher.</w:t>
      </w:r>
    </w:p>
    <w:p>
      <w:pPr>
        <w:numPr>
          <w:ilvl w:val="0"/>
          <w:numId w:val="1001"/>
        </w:numPr>
        <w:pStyle w:val="Compact"/>
      </w:pPr>
      <w:r>
        <w:t xml:space="preserve">The Academic Researcher retains full intellectual property rights over original methodologies and analytical frameworks developed during the engagement, unless otherwise stipulated in a separate IP assignment agreement.</w:t>
      </w:r>
    </w:p>
    <w:p>
      <w:pPr>
        <w:numPr>
          <w:ilvl w:val="0"/>
          <w:numId w:val="1001"/>
        </w:numPr>
        <w:pStyle w:val="Compact"/>
      </w:pPr>
      <w:r>
        <w:t xml:space="preserve">All fieldwork conducted in Morocco Casablanca shall comply with local municipal regulations, data protection laws (Law 09-08 on personal data protection), and institutional ethics protocols.</w:t>
      </w:r>
    </w:p>
    <w:p>
      <w:pPr>
        <w:numPr>
          <w:ilvl w:val="0"/>
          <w:numId w:val="1001"/>
        </w:numPr>
        <w:pStyle w:val="Compact"/>
      </w:pPr>
      <w:r>
        <w:t xml:space="preserve">Any scope deviation exceeding 10% of the originally estimated workload will trigger a supplementary Quotation Estimate for client approval before additional work commences.</w:t>
      </w:r>
    </w:p>
    <w:p>
      <w:pPr>
        <w:numPr>
          <w:ilvl w:val="0"/>
          <w:numId w:val="1001"/>
        </w:numPr>
        <w:pStyle w:val="Compact"/>
      </w:pPr>
      <w:r>
        <w:t xml:space="preserve">The Academic Researcher guarantees confidentiality of all proprietary data, trade secrets, and unpublished findings shared by the client throughout the project duration and for a period of five (5) years thereafter.</w:t>
      </w:r>
    </w:p>
    <w:p>
      <w:pPr>
        <w:numPr>
          <w:ilvl w:val="0"/>
          <w:numId w:val="1001"/>
        </w:numPr>
        <w:pStyle w:val="Compact"/>
      </w:pPr>
      <w:r>
        <w:t xml:space="preserve">Force majeure events, including but not limited to civil unrest, natural disasters, or government-imposed restrictions in the Casablanca region, shall suspend project timelines without penalty to either party.</w:t>
      </w:r>
    </w:p>
    <w:p>
      <w:pPr>
        <w:numPr>
          <w:ilvl w:val="0"/>
          <w:numId w:val="1001"/>
        </w:numPr>
        <w:pStyle w:val="Compact"/>
      </w:pPr>
      <w:r>
        <w:t xml:space="preserve">Disputes arising from this Quotation Estimate shall be resolved through arbitration under the rules of the Casablanca Chamber of Commerce, Industry, and Services (CCIS).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Academic Researcher services in Morocco Casablanca and agrees to the terms, conditions, and pricing outlined herein. The Academic Researcher confirms availability and commitment to deliver the scoped services within the stated timeline.</w:t>
      </w:r>
    </w:p>
    <w:p>
      <w:pPr>
        <w:pStyle w:val="BodyText"/>
      </w:pPr>
      <w:r>
        <w:rPr>
          <w:bCs/>
          <w:b/>
        </w:rPr>
        <w:t xml:space="preserve">For the Client</w:t>
      </w:r>
    </w:p>
    <w:p>
      <w:pPr>
        <w:pStyle w:val="BodyText"/>
      </w:pPr>
      <w:r>
        <w:t xml:space="preserve">Name: ________________________</w:t>
      </w:r>
    </w:p>
    <w:p>
      <w:pPr>
        <w:pStyle w:val="BodyText"/>
      </w:pPr>
      <w:r>
        <w:t xml:space="preserve">Title: ________________________</w:t>
      </w:r>
    </w:p>
    <w:p>
      <w:pPr>
        <w:pStyle w:val="BodyText"/>
      </w:pPr>
      <w:r>
        <w:t xml:space="preserve">Signature &amp; Date: ________________________</w:t>
      </w:r>
    </w:p>
    <w:p>
      <w:pPr>
        <w:pStyle w:val="BodyText"/>
      </w:pPr>
      <w:r>
        <w:rPr>
          <w:bCs/>
          <w:b/>
        </w:rPr>
        <w:t xml:space="preserve">For the Academic Researcher</w:t>
      </w:r>
    </w:p>
    <w:p>
      <w:pPr>
        <w:pStyle w:val="BodyText"/>
      </w:pPr>
      <w:r>
        <w:t xml:space="preserve">Name: Dr. Youssef El Amrani</w:t>
      </w:r>
    </w:p>
    <w:p>
      <w:pPr>
        <w:pStyle w:val="BodyText"/>
      </w:pPr>
      <w:r>
        <w:t xml:space="preserve">Title: Lead Academic Researcher</w:t>
      </w:r>
    </w:p>
    <w:p>
      <w:pPr>
        <w:pStyle w:val="BodyText"/>
      </w:pPr>
      <w:r>
        <w:t xml:space="preserve">Signature &amp; Date: ________________________</w:t>
      </w:r>
    </w:p>
    <w:p>
      <w:pPr>
        <w:pStyle w:val="BodyText"/>
      </w:pPr>
      <w:r>
        <w:t xml:space="preserve">Atlas Research &amp; Consulting Group | Tour Atlas, 12 Bd Mohammed V, Casablanca 20250, Morocco</w:t>
      </w:r>
    </w:p>
    <w:p>
      <w:pPr>
        <w:pStyle w:val="BodyText"/>
      </w:pPr>
      <w:r>
        <w:t xml:space="preserve">RC: 458210 | ICE: 002345678000091 | IF: 40567890</w:t>
      </w:r>
    </w:p>
    <w:p>
      <w:pPr>
        <w:pStyle w:val="BodyText"/>
      </w:pPr>
      <w:r>
        <w:t xml:space="preserve">This Quotation Estimate is valid for 30 days. For inquiries, contact research@atlas-consulting.ma | +212 522-345-678</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Morocco Casablanca</dc:title>
  <dc:creator/>
  <dc:language>en</dc:language>
  <cp:keywords/>
  <dcterms:created xsi:type="dcterms:W3CDTF">2026-10-10T09:17:22Z</dcterms:created>
  <dcterms:modified xsi:type="dcterms:W3CDTF">2026-10-10T09:17:22Z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