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Academic Researcher Professional Services</w:t>
      </w:r>
    </w:p>
    <w:p>
      <w:pPr>
        <w:pStyle w:val="BodyText"/>
      </w:pPr>
      <w:r>
        <w:t xml:space="preserve">Yangon, Myanmar</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from-service-provider"/>
            <w:r>
              <w:t xml:space="preserve">From (Service Provider):</w:t>
            </w:r>
            <w:bookmarkEnd w:id="21"/>
          </w:p>
          <w:p>
            <w:pPr>
              <w:jc w:val="left"/>
            </w:pPr>
            <w:r>
              <w:t xml:space="preserve">Yangon Academic Research Consultancy Co., Ltd.</w:t>
            </w:r>
          </w:p>
          <w:p>
            <w:pPr>
              <w:jc w:val="left"/>
            </w:pPr>
            <w:r>
              <w:t xml:space="preserve">No. 45, 27th Street, Kamayut Township</w:t>
            </w:r>
          </w:p>
          <w:p>
            <w:pPr>
              <w:jc w:val="left"/>
            </w:pPr>
            <w:r>
              <w:t xml:space="preserve">Yangon 11111, Myanmar</w:t>
            </w:r>
          </w:p>
          <w:p>
            <w:pPr>
              <w:jc w:val="left"/>
            </w:pPr>
            <w:r>
              <w:t xml:space="preserve">Tel: +95-9-790-123-456</w:t>
            </w:r>
          </w:p>
          <w:p>
            <w:pPr>
              <w:jc w:val="left"/>
            </w:pPr>
            <w:r>
              <w:t xml:space="preserve">Email: info@yangonacademicresearch.com.mm</w:t>
            </w:r>
          </w:p>
        </w:tc>
        <w:tc>
          <w:tcPr/>
          <w:p>
            <w:pPr>
              <w:pStyle w:val="Heading3"/>
              <w:jc w:val="left"/>
            </w:pPr>
            <w:bookmarkStart w:id="22" w:name="to-client"/>
            <w:r>
              <w:t xml:space="preserve">To (Client):</w:t>
            </w:r>
            <w:bookmarkEnd w:id="22"/>
          </w:p>
          <w:p>
            <w:pPr>
              <w:jc w:val="left"/>
            </w:pPr>
            <w:r>
              <w:t xml:space="preserve">[Client Name / Organization]</w:t>
            </w:r>
          </w:p>
          <w:p>
            <w:pPr>
              <w:jc w:val="left"/>
            </w:pPr>
            <w:r>
              <w:t xml:space="preserve">[Client Address]</w:t>
            </w:r>
          </w:p>
          <w:p>
            <w:pPr>
              <w:jc w:val="left"/>
            </w:pPr>
            <w:r>
              <w:t xml:space="preserve">Yangon, Myanmar</w:t>
            </w:r>
          </w:p>
          <w:p>
            <w:pPr>
              <w:jc w:val="left"/>
            </w:pPr>
            <w:r>
              <w:t xml:space="preserve">Tel: [Client Phone]</w:t>
            </w:r>
          </w:p>
          <w:p>
            <w:pPr>
              <w:jc w:val="left"/>
            </w:pPr>
            <w:r>
              <w:t xml:space="preserve">Email: [Client Email]</w:t>
            </w:r>
          </w:p>
        </w:tc>
      </w:tr>
    </w:tbl>
    <w:p/>
    <w:tbl>
      <w:tblPr>
        <w:tblStyle w:val="Table"/>
        <w:tblW w:type="auto" w:w="0"/>
        <w:tblLook w:firstRow="0" w:lastRow="0" w:firstColumn="0" w:lastColumn="0" w:noHBand="0" w:noVBand="0" w:val="0000"/>
      </w:tblPr>
      <w:tblGrid>
        <w:gridCol w:w="2640"/>
        <w:gridCol w:w="2640"/>
        <w:gridCol w:w="2640"/>
      </w:tblGrid>
      <w:tr>
        <w:tc>
          <w:tcPr/>
          <w:p>
            <w:pPr>
              <w:pStyle w:val="Compact"/>
              <w:jc w:val="left"/>
            </w:pPr>
            <w:r>
              <w:rPr>
                <w:bCs/>
                <w:b/>
              </w:rPr>
              <w:t xml:space="preserve">Quotation No.:</w:t>
            </w:r>
            <w:r>
              <w:t xml:space="preserve"> </w:t>
            </w:r>
            <w:r>
              <w:t xml:space="preserve">QTE-YGN-2025-0047</w:t>
            </w:r>
          </w:p>
        </w:tc>
        <w:tc>
          <w:tcPr/>
          <w:p>
            <w:pPr>
              <w:pStyle w:val="Compact"/>
              <w:jc w:val="left"/>
            </w:pPr>
            <w:r>
              <w:rPr>
                <w:bCs/>
                <w:b/>
              </w:rPr>
              <w:t xml:space="preserve">Date of Issue:</w:t>
            </w:r>
            <w:r>
              <w:t xml:space="preserve"> </w:t>
            </w:r>
            <w:r>
              <w:t xml:space="preserve">15 June 2025</w:t>
            </w:r>
          </w:p>
        </w:tc>
        <w:tc>
          <w:tcPr/>
          <w:p>
            <w:pPr>
              <w:pStyle w:val="Compact"/>
              <w:jc w:val="left"/>
            </w:pPr>
            <w:r>
              <w:rPr>
                <w:bCs/>
                <w:b/>
              </w:rPr>
              <w:t xml:space="preserve">Valid Until:</w:t>
            </w:r>
            <w:r>
              <w:t xml:space="preserve"> </w:t>
            </w:r>
            <w:r>
              <w:t xml:space="preserve">15 July 2025</w:t>
            </w:r>
          </w:p>
        </w:tc>
      </w:tr>
      <w:tr>
        <w:tc>
          <w:tcPr/>
          <w:p>
            <w:pPr>
              <w:pStyle w:val="Compact"/>
              <w:jc w:val="left"/>
            </w:pPr>
            <w:r>
              <w:rPr>
                <w:bCs/>
                <w:b/>
              </w:rPr>
              <w:t xml:space="preserve">Project Title:</w:t>
            </w:r>
            <w:r>
              <w:t xml:space="preserve"> </w:t>
            </w:r>
            <w:r>
              <w:t xml:space="preserve">Academic Researcher Engagement</w:t>
            </w:r>
          </w:p>
        </w:tc>
        <w:tc>
          <w:tcPr/>
          <w:p>
            <w:pPr>
              <w:pStyle w:val="Compact"/>
              <w:jc w:val="left"/>
            </w:pPr>
            <w:r>
              <w:rPr>
                <w:bCs/>
                <w:b/>
              </w:rPr>
              <w:t xml:space="preserve">Location:</w:t>
            </w:r>
            <w:r>
              <w:t xml:space="preserve"> </w:t>
            </w:r>
            <w:r>
              <w:t xml:space="preserve">Myanmar Yangon</w:t>
            </w:r>
          </w:p>
        </w:tc>
        <w:tc>
          <w:tcPr/>
          <w:p>
            <w:pPr>
              <w:pStyle w:val="Compact"/>
              <w:jc w:val="left"/>
            </w:pPr>
            <w:r>
              <w:rPr>
                <w:bCs/>
                <w:b/>
              </w:rPr>
              <w:t xml:space="preserve">Currency:</w:t>
            </w:r>
            <w:r>
              <w:t xml:space="preserve"> </w:t>
            </w:r>
            <w:r>
              <w:t xml:space="preserve">USD / MMK</w:t>
            </w:r>
          </w:p>
        </w:tc>
      </w:tr>
    </w:tbl>
    <w:bookmarkStart w:id="23" w:name="X0c7581080508d578c26b6d8dfd726c7e3ca5cc9"/>
    <w:p>
      <w:pPr>
        <w:pStyle w:val="Heading2"/>
      </w:pPr>
      <w:r>
        <w:t xml:space="preserve">1. Purpose and Scope of This Quotation Estimate</w:t>
      </w:r>
    </w:p>
    <w:p>
      <w:pPr>
        <w:pStyle w:val="FirstParagraph"/>
      </w:pPr>
      <w:r>
        <w:t xml:space="preserve">This Quotation Estimate is prepared to provide a comprehensive and transparent financial breakdown for the engagement of a qualified Academic Researcher to deliver specialized research services within Myanmar Yangon. The purpose of this document is to outline the scope of work, deliverables, timelines, and associated costs for the client's review and approval. All figures presented in this Quotation Estimate reflect current market rates for Academic Researcher services in the Myanmar Yangon region as of the date of issue.</w:t>
      </w:r>
    </w:p>
    <w:p>
      <w:pPr>
        <w:pStyle w:val="BodyText"/>
      </w:pPr>
      <w:r>
        <w:t xml:space="preserve">The Academic Researcher engaged under this Quotation Estimate will be responsible for conducting rigorous, peer-reviewed-quality research aligned with the client's stated objectives. The work will be carried out primarily in Myanmar Yangon, leveraging local institutional partnerships, university libraries, and field research sites across the Yangon Region. This Quotation Estimate covers all professional fees, travel within Myanmar Yangon, data collection costs, and reporting deliverables as itemized below.</w:t>
      </w:r>
    </w:p>
    <w:bookmarkEnd w:id="23"/>
    <w:bookmarkStart w:id="24" w:name="X14953c45e1cce4ddefc72a6d790efdd03f4332c"/>
    <w:p>
      <w:pPr>
        <w:pStyle w:val="Heading2"/>
      </w:pPr>
      <w:r>
        <w:t xml:space="preserve">2. Scope of Work – Academic Researcher Services</w:t>
      </w:r>
    </w:p>
    <w:p>
      <w:pPr>
        <w:pStyle w:val="FirstParagraph"/>
      </w:pPr>
      <w:r>
        <w:t xml:space="preserve">The Academic Researcher will perform the following tasks as part of the engagement detailed in this Quotation Estimate:</w:t>
      </w:r>
    </w:p>
    <w:p>
      <w:pPr>
        <w:numPr>
          <w:ilvl w:val="0"/>
          <w:numId w:val="1001"/>
        </w:numPr>
        <w:pStyle w:val="Compact"/>
      </w:pPr>
      <w:r>
        <w:t xml:space="preserve">Conduct a comprehensive literature review on the agreed research topic, utilizing databases available at Yangon University of Economics and Business, Yangon Technological University, and the Myanmar National Library in Myanmar Yangon.</w:t>
      </w:r>
    </w:p>
    <w:p>
      <w:pPr>
        <w:numPr>
          <w:ilvl w:val="0"/>
          <w:numId w:val="1001"/>
        </w:numPr>
        <w:pStyle w:val="Compact"/>
      </w:pPr>
      <w:r>
        <w:t xml:space="preserve">Design and implement a mixed-methods research framework (quantitative surveys and qualitative interviews) targeting a minimum of 200 respondents across Myanmar Yangon townships including Kamayut, Insein, Hlaing, and Dagon.</w:t>
      </w:r>
    </w:p>
    <w:p>
      <w:pPr>
        <w:numPr>
          <w:ilvl w:val="0"/>
          <w:numId w:val="1001"/>
        </w:numPr>
        <w:pStyle w:val="Compact"/>
      </w:pPr>
      <w:r>
        <w:t xml:space="preserve">Perform field data collection, participant observation, and semi-structured interviews in Myanmar Yangon over a period of eight (8) weeks.</w:t>
      </w:r>
    </w:p>
    <w:p>
      <w:pPr>
        <w:numPr>
          <w:ilvl w:val="0"/>
          <w:numId w:val="1001"/>
        </w:numPr>
        <w:pStyle w:val="Compact"/>
      </w:pPr>
      <w:r>
        <w:t xml:space="preserve">Analyze collected data using SPSS and NVivo software, ensuring statistical validity and thematic coherence.</w:t>
      </w:r>
    </w:p>
    <w:p>
      <w:pPr>
        <w:numPr>
          <w:ilvl w:val="0"/>
          <w:numId w:val="1001"/>
        </w:numPr>
        <w:pStyle w:val="Compact"/>
      </w:pPr>
      <w:r>
        <w:t xml:space="preserve">Prepare a final research report of no fewer than 60 pages, including executive summary, methodology, findings, discussion, and policy recommendations relevant to the Myanmar Yangon context.</w:t>
      </w:r>
    </w:p>
    <w:p>
      <w:pPr>
        <w:numPr>
          <w:ilvl w:val="0"/>
          <w:numId w:val="1001"/>
        </w:numPr>
        <w:pStyle w:val="Compact"/>
      </w:pPr>
      <w:r>
        <w:t xml:space="preserve">Deliver a presentation of findings to the client's stakeholders in Myanmar Yangon, including a Q&amp;A session.</w:t>
      </w:r>
    </w:p>
    <w:p>
      <w:pPr>
        <w:numPr>
          <w:ilvl w:val="0"/>
          <w:numId w:val="1001"/>
        </w:numPr>
        <w:pStyle w:val="Compact"/>
      </w:pPr>
      <w:r>
        <w:t xml:space="preserve">Provide two (2) rounds of revisions to the final report based on client feedback.</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center"/>
            </w:pPr>
            <w:r>
              <w:t xml:space="preserve">Duration</w:t>
            </w:r>
          </w:p>
        </w:tc>
        <w:tc>
          <w:tcPr/>
          <w:p>
            <w:pPr>
              <w:pStyle w:val="Compact"/>
              <w:jc w:val="right"/>
            </w:pPr>
            <w:r>
              <w:t xml:space="preserve">Cost (USD)</w:t>
            </w:r>
          </w:p>
        </w:tc>
      </w:tr>
      <w:tr>
        <w:tc>
          <w:tcPr/>
          <w:p>
            <w:pPr>
              <w:pStyle w:val="Compact"/>
              <w:jc w:val="left"/>
            </w:pPr>
            <w:r>
              <w:t xml:space="preserve">01</w:t>
            </w:r>
          </w:p>
        </w:tc>
        <w:tc>
          <w:tcPr/>
          <w:p>
            <w:pPr>
              <w:pStyle w:val="Compact"/>
              <w:jc w:val="left"/>
            </w:pPr>
            <w:r>
              <w:t xml:space="preserve">Academic Researcher professional fee (PhD-level, 10+ years experience)</w:t>
            </w:r>
          </w:p>
        </w:tc>
        <w:tc>
          <w:tcPr/>
          <w:p>
            <w:pPr>
              <w:pStyle w:val="Compact"/>
              <w:jc w:val="center"/>
            </w:pPr>
            <w:r>
              <w:t xml:space="preserve">12 weeks</w:t>
            </w:r>
          </w:p>
        </w:tc>
        <w:tc>
          <w:tcPr/>
          <w:p>
            <w:pPr>
              <w:pStyle w:val="Compact"/>
              <w:jc w:val="right"/>
            </w:pPr>
            <w:r>
              <w:t xml:space="preserve">$6,800.00</w:t>
            </w:r>
          </w:p>
        </w:tc>
      </w:tr>
      <w:tr>
        <w:tc>
          <w:tcPr/>
          <w:p>
            <w:pPr>
              <w:pStyle w:val="Compact"/>
              <w:jc w:val="left"/>
            </w:pPr>
            <w:r>
              <w:t xml:space="preserve">02</w:t>
            </w:r>
          </w:p>
        </w:tc>
        <w:tc>
          <w:tcPr/>
          <w:p>
            <w:pPr>
              <w:pStyle w:val="Compact"/>
              <w:jc w:val="left"/>
            </w:pPr>
            <w:r>
              <w:t xml:space="preserve">Literature review and research design development</w:t>
            </w:r>
          </w:p>
        </w:tc>
        <w:tc>
          <w:tcPr/>
          <w:p>
            <w:pPr>
              <w:pStyle w:val="Compact"/>
              <w:jc w:val="center"/>
            </w:pPr>
            <w:r>
              <w:t xml:space="preserve">2 weeks</w:t>
            </w:r>
          </w:p>
        </w:tc>
        <w:tc>
          <w:tcPr/>
          <w:p>
            <w:pPr>
              <w:pStyle w:val="Compact"/>
              <w:jc w:val="right"/>
            </w:pPr>
            <w:r>
              <w:t xml:space="preserve">$1,200.00</w:t>
            </w:r>
          </w:p>
        </w:tc>
      </w:tr>
      <w:tr>
        <w:tc>
          <w:tcPr/>
          <w:p>
            <w:pPr>
              <w:pStyle w:val="Compact"/>
              <w:jc w:val="left"/>
            </w:pPr>
            <w:r>
              <w:t xml:space="preserve">03</w:t>
            </w:r>
          </w:p>
        </w:tc>
        <w:tc>
          <w:tcPr/>
          <w:p>
            <w:pPr>
              <w:pStyle w:val="Compact"/>
              <w:jc w:val="left"/>
            </w:pPr>
            <w:r>
              <w:t xml:space="preserve">Field data collection in Myanmar Yangon (surveys, interviews, observation)</w:t>
            </w:r>
          </w:p>
        </w:tc>
        <w:tc>
          <w:tcPr/>
          <w:p>
            <w:pPr>
              <w:pStyle w:val="Compact"/>
              <w:jc w:val="center"/>
            </w:pPr>
            <w:r>
              <w:t xml:space="preserve">8 weeks</w:t>
            </w:r>
          </w:p>
        </w:tc>
        <w:tc>
          <w:tcPr/>
          <w:p>
            <w:pPr>
              <w:pStyle w:val="Compact"/>
              <w:jc w:val="right"/>
            </w:pPr>
            <w:r>
              <w:t xml:space="preserve">$2,400.00</w:t>
            </w:r>
          </w:p>
        </w:tc>
      </w:tr>
      <w:tr>
        <w:tc>
          <w:tcPr/>
          <w:p>
            <w:pPr>
              <w:pStyle w:val="Compact"/>
              <w:jc w:val="left"/>
            </w:pPr>
            <w:r>
              <w:t xml:space="preserve">04</w:t>
            </w:r>
          </w:p>
        </w:tc>
        <w:tc>
          <w:tcPr/>
          <w:p>
            <w:pPr>
              <w:pStyle w:val="Compact"/>
              <w:jc w:val="left"/>
            </w:pPr>
            <w:r>
              <w:t xml:space="preserve">Data analysis, statistical modeling, and thematic coding</w:t>
            </w:r>
          </w:p>
        </w:tc>
        <w:tc>
          <w:tcPr/>
          <w:p>
            <w:pPr>
              <w:pStyle w:val="Compact"/>
              <w:jc w:val="center"/>
            </w:pPr>
            <w:r>
              <w:t xml:space="preserve">3 weeks</w:t>
            </w:r>
          </w:p>
        </w:tc>
        <w:tc>
          <w:tcPr/>
          <w:p>
            <w:pPr>
              <w:pStyle w:val="Compact"/>
              <w:jc w:val="right"/>
            </w:pPr>
            <w:r>
              <w:t xml:space="preserve">$1,800.00</w:t>
            </w:r>
          </w:p>
        </w:tc>
      </w:tr>
      <w:tr>
        <w:tc>
          <w:tcPr/>
          <w:p>
            <w:pPr>
              <w:pStyle w:val="Compact"/>
              <w:jc w:val="left"/>
            </w:pPr>
            <w:r>
              <w:t xml:space="preserve">05</w:t>
            </w:r>
          </w:p>
        </w:tc>
        <w:tc>
          <w:tcPr/>
          <w:p>
            <w:pPr>
              <w:pStyle w:val="Compact"/>
              <w:jc w:val="left"/>
            </w:pPr>
            <w:r>
              <w:t xml:space="preserve">Final report writing, editing, and two rounds of revision</w:t>
            </w:r>
          </w:p>
        </w:tc>
        <w:tc>
          <w:tcPr/>
          <w:p>
            <w:pPr>
              <w:pStyle w:val="Compact"/>
              <w:jc w:val="center"/>
            </w:pPr>
            <w:r>
              <w:t xml:space="preserve">3 weeks</w:t>
            </w:r>
          </w:p>
        </w:tc>
        <w:tc>
          <w:tcPr/>
          <w:p>
            <w:pPr>
              <w:pStyle w:val="Compact"/>
              <w:jc w:val="right"/>
            </w:pPr>
            <w:r>
              <w:t xml:space="preserve">$1,500.00</w:t>
            </w:r>
          </w:p>
        </w:tc>
      </w:tr>
      <w:tr>
        <w:tc>
          <w:tcPr/>
          <w:p>
            <w:pPr>
              <w:pStyle w:val="Compact"/>
              <w:jc w:val="left"/>
            </w:pPr>
            <w:r>
              <w:t xml:space="preserve">06</w:t>
            </w:r>
          </w:p>
        </w:tc>
        <w:tc>
          <w:tcPr/>
          <w:p>
            <w:pPr>
              <w:pStyle w:val="Compact"/>
              <w:jc w:val="left"/>
            </w:pPr>
            <w:r>
              <w:t xml:space="preserve">Local transportation and travel within Myanmar Yangon</w:t>
            </w:r>
          </w:p>
        </w:tc>
        <w:tc>
          <w:tcPr/>
          <w:p>
            <w:pPr>
              <w:pStyle w:val="Compact"/>
              <w:jc w:val="center"/>
            </w:pPr>
            <w:r>
              <w:t xml:space="preserve">12 weeks</w:t>
            </w:r>
          </w:p>
        </w:tc>
        <w:tc>
          <w:tcPr/>
          <w:p>
            <w:pPr>
              <w:pStyle w:val="Compact"/>
              <w:jc w:val="right"/>
            </w:pPr>
            <w:r>
              <w:t xml:space="preserve">$600.00</w:t>
            </w:r>
          </w:p>
        </w:tc>
      </w:tr>
      <w:tr>
        <w:tc>
          <w:tcPr/>
          <w:p>
            <w:pPr>
              <w:pStyle w:val="Compact"/>
              <w:jc w:val="left"/>
            </w:pPr>
            <w:r>
              <w:t xml:space="preserve">07</w:t>
            </w:r>
          </w:p>
        </w:tc>
        <w:tc>
          <w:tcPr/>
          <w:p>
            <w:pPr>
              <w:pStyle w:val="Compact"/>
              <w:jc w:val="left"/>
            </w:pPr>
            <w:r>
              <w:t xml:space="preserve">Software licenses (SPSS, NVivo) and printing of survey instruments</w:t>
            </w:r>
          </w:p>
        </w:tc>
        <w:tc>
          <w:tcPr/>
          <w:p>
            <w:pPr>
              <w:pStyle w:val="Compact"/>
              <w:jc w:val="center"/>
            </w:pPr>
            <w:r>
              <w:t xml:space="preserve">N/A</w:t>
            </w:r>
          </w:p>
        </w:tc>
        <w:tc>
          <w:tcPr/>
          <w:p>
            <w:pPr>
              <w:pStyle w:val="Compact"/>
              <w:jc w:val="right"/>
            </w:pPr>
            <w:r>
              <w:t xml:space="preserve">$450.00</w:t>
            </w:r>
          </w:p>
        </w:tc>
      </w:tr>
      <w:tr>
        <w:tc>
          <w:tcPr/>
          <w:p>
            <w:pPr>
              <w:pStyle w:val="Compact"/>
              <w:jc w:val="left"/>
            </w:pPr>
            <w:r>
              <w:t xml:space="preserve">08</w:t>
            </w:r>
          </w:p>
        </w:tc>
        <w:tc>
          <w:tcPr/>
          <w:p>
            <w:pPr>
              <w:pStyle w:val="Compact"/>
              <w:jc w:val="left"/>
            </w:pPr>
            <w:r>
              <w:t xml:space="preserve">Stakeholder presentation and final Q&amp;A session in Myanmar Yangon</w:t>
            </w:r>
          </w:p>
        </w:tc>
        <w:tc>
          <w:tcPr/>
          <w:p>
            <w:pPr>
              <w:pStyle w:val="Compact"/>
              <w:jc w:val="center"/>
            </w:pPr>
            <w:r>
              <w:t xml:space="preserve">1 day</w:t>
            </w:r>
          </w:p>
        </w:tc>
        <w:tc>
          <w:tcPr/>
          <w:p>
            <w:pPr>
              <w:pStyle w:val="Compact"/>
              <w:jc w:val="right"/>
            </w:pPr>
            <w:r>
              <w:t xml:space="preserve">$500.00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$15,250.00</w:t>
            </w:r>
          </w:p>
        </w:tc>
      </w:tr>
      <w:tr>
        <w:tc>
          <w:tcPr/>
          <w:p>
            <w:pPr>
              <w:pStyle w:val="Compact"/>
              <w:jc w:val="left"/>
            </w:pPr>
            <w:r>
              <w:t xml:space="preserve">VAT (5% – Myanmar standard rate)</w:t>
            </w:r>
          </w:p>
        </w:tc>
        <w:tc>
          <w:tcPr/>
          <w:p>
            <w:pPr>
              <w:pStyle w:val="Compact"/>
              <w:jc w:val="right"/>
            </w:pPr>
            <w:r>
              <w:t xml:space="preserve">$762.50</w:t>
            </w:r>
          </w:p>
        </w:tc>
      </w:tr>
      <w:tr>
        <w:tc>
          <w:tcPr/>
          <w:p>
            <w:pPr>
              <w:pStyle w:val="Compact"/>
              <w:jc w:val="left"/>
            </w:pPr>
            <w:r>
              <w:rPr>
                <w:bCs/>
                <w:b/>
              </w:rPr>
              <w:t xml:space="preserve">TOTAL ESTIMATED COST</w:t>
            </w:r>
          </w:p>
        </w:tc>
        <w:tc>
          <w:tcPr/>
          <w:p>
            <w:pPr>
              <w:pStyle w:val="Compact"/>
              <w:jc w:val="right"/>
            </w:pPr>
            <w:r>
              <w:rPr>
                <w:bCs/>
                <w:b/>
              </w:rPr>
              <w:t xml:space="preserve">$16,012.50</w:t>
            </w:r>
          </w:p>
        </w:tc>
      </w:tr>
    </w:tbl>
    <w:bookmarkEnd w:id="25"/>
    <w:bookmarkStart w:id="26" w:name="payment-terms-and-schedule"/>
    <w:p>
      <w:pPr>
        <w:pStyle w:val="Heading2"/>
      </w:pPr>
      <w:r>
        <w:t xml:space="preserve">4. Payment Terms and Schedule</w:t>
      </w:r>
    </w:p>
    <w:p>
      <w:pPr>
        <w:pStyle w:val="FirstParagraph"/>
      </w:pPr>
      <w:r>
        <w:t xml:space="preserve">Payment for the services outlined in this Quotation Estimate shall be made in three (3) installments as follows:</w:t>
      </w:r>
    </w:p>
    <w:p>
      <w:pPr>
        <w:numPr>
          <w:ilvl w:val="0"/>
          <w:numId w:val="1002"/>
        </w:numPr>
        <w:pStyle w:val="Compact"/>
      </w:pPr>
      <w:r>
        <w:rPr>
          <w:bCs/>
          <w:b/>
        </w:rPr>
        <w:t xml:space="preserve">First installment (40%):</w:t>
      </w:r>
      <w:r>
        <w:t xml:space="preserve"> </w:t>
      </w:r>
      <w:r>
        <w:t xml:space="preserve">$6,405.00 – Due upon signed acceptance of this Quotation Estimate and commencement of the Academic Researcher engagement.</w:t>
      </w:r>
    </w:p>
    <w:p>
      <w:pPr>
        <w:numPr>
          <w:ilvl w:val="0"/>
          <w:numId w:val="1002"/>
        </w:numPr>
        <w:pStyle w:val="Compact"/>
      </w:pPr>
      <w:r>
        <w:rPr>
          <w:bCs/>
          <w:b/>
        </w:rPr>
        <w:t xml:space="preserve">Second installment (35%):</w:t>
      </w:r>
      <w:r>
        <w:t xml:space="preserve"> </w:t>
      </w:r>
      <w:r>
        <w:t xml:space="preserve">$5,604.38 – Due upon completion of field data collection in Myanmar Yangon and submission of the interim progress report.</w:t>
      </w:r>
    </w:p>
    <w:p>
      <w:pPr>
        <w:numPr>
          <w:ilvl w:val="0"/>
          <w:numId w:val="1002"/>
        </w:numPr>
        <w:pStyle w:val="Compact"/>
      </w:pPr>
      <w:r>
        <w:rPr>
          <w:bCs/>
          <w:b/>
        </w:rPr>
        <w:t xml:space="preserve">Third installment (25%):</w:t>
      </w:r>
      <w:r>
        <w:t xml:space="preserve"> </w:t>
      </w:r>
      <w:r>
        <w:t xml:space="preserve">$4,003.13 – Due upon delivery of the final research report and completion of the stakeholder presentation.</w:t>
      </w:r>
    </w:p>
    <w:p>
      <w:pPr>
        <w:pStyle w:val="FirstParagraph"/>
      </w:pPr>
      <w:r>
        <w:t xml:space="preserve">All payments shall be made via bank transfer to the account of Yangon Academic Research Consultancy Co., Ltd. at CB Bank, Yangon Branch, Myanmar. The client is requested to settle each installment within fourteen (14) calendar days of the respective invoice date.</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thirty (30) days from the date of issue. After the validity period, the Academic Researcher rates and associated costs may be subject to revision based on prevailing market conditions in Myanmar Yangon.</w:t>
      </w:r>
    </w:p>
    <w:p>
      <w:pPr>
        <w:numPr>
          <w:ilvl w:val="0"/>
          <w:numId w:val="1003"/>
        </w:numPr>
        <w:pStyle w:val="Compact"/>
      </w:pPr>
      <w:r>
        <w:t xml:space="preserve">The Academic Researcher reserves the right to decline or modify the scope of work if ethical research standards cannot be maintained or if access to research sites in Myanmar Yangon is restricted by local authorities.</w:t>
      </w:r>
    </w:p>
    <w:p>
      <w:pPr>
        <w:numPr>
          <w:ilvl w:val="0"/>
          <w:numId w:val="1003"/>
        </w:numPr>
        <w:pStyle w:val="Compact"/>
      </w:pPr>
      <w:r>
        <w:t xml:space="preserve">All data collected during the engagement shall remain the intellectual property of the client. The Academic Researcher shall sign a Non-Disclosure Agreement (NDA) prior to commencing work.</w:t>
      </w:r>
    </w:p>
    <w:p>
      <w:pPr>
        <w:numPr>
          <w:ilvl w:val="0"/>
          <w:numId w:val="1003"/>
        </w:numPr>
        <w:pStyle w:val="Compact"/>
      </w:pPr>
      <w:r>
        <w:t xml:space="preserve">Any changes to the scope of work requested by the client after the initial agreement will be subject to a revised Quotation Estimate and additional charges.</w:t>
      </w:r>
    </w:p>
    <w:p>
      <w:pPr>
        <w:numPr>
          <w:ilvl w:val="0"/>
          <w:numId w:val="1003"/>
        </w:numPr>
        <w:pStyle w:val="Compact"/>
      </w:pPr>
      <w:r>
        <w:t xml:space="preserve">The Academic Researcher shall comply with all applicable laws and regulations of the Republic of the Union of Myanmar, including data protection and research ethics guidelines.</w:t>
      </w:r>
    </w:p>
    <w:p>
      <w:pPr>
        <w:numPr>
          <w:ilvl w:val="0"/>
          <w:numId w:val="1003"/>
        </w:numPr>
        <w:pStyle w:val="Compact"/>
      </w:pPr>
      <w:r>
        <w:t xml:space="preserve">This Quotation Estimate does not constitute a binding contract until both parties have signed and returned the acceptance section below.</w:t>
      </w:r>
    </w:p>
    <w:p>
      <w:pPr>
        <w:numPr>
          <w:ilvl w:val="0"/>
          <w:numId w:val="1003"/>
        </w:numPr>
        <w:pStyle w:val="Compact"/>
      </w:pPr>
      <w:r>
        <w:t xml:space="preserve">Force majeure events, including but not limited to natural disasters, government-imposed restrictions, or public health emergencies affecting Myanmar Yangon, may result in project delays without penalty to either party.</w:t>
      </w:r>
    </w:p>
    <w:bookmarkEnd w:id="27"/>
    <w:bookmarkStart w:id="28" w:name="acceptance-and-authorization"/>
    <w:p>
      <w:pPr>
        <w:pStyle w:val="Heading2"/>
      </w:pPr>
      <w:r>
        <w:t xml:space="preserve">6. Acceptance and Authorization</w:t>
      </w:r>
    </w:p>
    <w:p>
      <w:pPr>
        <w:pStyle w:val="FirstParagraph"/>
      </w:pPr>
      <w:r>
        <w:t xml:space="preserve">By signing below, the client acknowledges and accepts the terms, conditions, and financial estimates set forth in this Quotation Estimate for the engagement of the Academic Researcher in Myanmar Yangon.</w:t>
      </w:r>
    </w:p>
    <w:p>
      <w:pPr>
        <w:pStyle w:val="BodyText"/>
      </w:pPr>
      <w:r>
        <w:br/>
      </w:r>
    </w:p>
    <w:tbl>
      <w:tblPr>
        <w:tblStyle w:val="Table"/>
        <w:tblW w:type="pct" w:w="5000"/>
        <w:tblLook w:firstRow="0" w:lastRow="0" w:firstColumn="0" w:lastColumn="0" w:noHBand="0" w:noVBand="0" w:val="0000"/>
      </w:tblPr>
      <w:tblGrid>
        <w:gridCol w:w="3960"/>
        <w:gridCol w:w="3960"/>
      </w:tblGrid>
      <w:tr>
        <w:tc>
          <w:tcPr/>
          <w:p>
            <w:pPr>
              <w:jc w:val="left"/>
            </w:pPr>
            <w:r>
              <w:t xml:space="preserve">_______________________________</w:t>
            </w:r>
          </w:p>
          <w:p>
            <w:pPr>
              <w:jc w:val="left"/>
            </w:pPr>
            <w:r>
              <w:rPr>
                <w:bCs/>
                <w:b/>
              </w:rPr>
              <w:t xml:space="preserve">Client Name:</w:t>
            </w:r>
          </w:p>
          <w:p>
            <w:pPr>
              <w:jc w:val="left"/>
            </w:pPr>
            <w:r>
              <w:rPr>
                <w:bCs/>
                <w:b/>
              </w:rPr>
              <w:t xml:space="preserve">Title:</w:t>
            </w:r>
          </w:p>
          <w:p>
            <w:pPr>
              <w:jc w:val="left"/>
            </w:pPr>
            <w:r>
              <w:rPr>
                <w:bCs/>
                <w:b/>
              </w:rPr>
              <w:t xml:space="preserve">Organization:</w:t>
            </w:r>
          </w:p>
          <w:p>
            <w:pPr>
              <w:jc w:val="left"/>
            </w:pPr>
            <w:r>
              <w:rPr>
                <w:bCs/>
                <w:b/>
              </w:rPr>
              <w:t xml:space="preserve">Date:</w:t>
            </w:r>
          </w:p>
        </w:tc>
        <w:tc>
          <w:tcPr/>
          <w:p>
            <w:pPr>
              <w:jc w:val="left"/>
            </w:pPr>
            <w:r>
              <w:t xml:space="preserve">_______________________________</w:t>
            </w:r>
          </w:p>
          <w:p>
            <w:pPr>
              <w:jc w:val="left"/>
            </w:pPr>
            <w:r>
              <w:rPr>
                <w:bCs/>
                <w:b/>
              </w:rPr>
              <w:t xml:space="preserve">Service Provider (Authorized Signatory):</w:t>
            </w:r>
          </w:p>
          <w:p>
            <w:pPr>
              <w:jc w:val="left"/>
            </w:pPr>
            <w:r>
              <w:rPr>
                <w:bCs/>
                <w:b/>
              </w:rPr>
              <w:t xml:space="preserve">Title:</w:t>
            </w:r>
          </w:p>
          <w:p>
            <w:pPr>
              <w:jc w:val="left"/>
            </w:pPr>
            <w:r>
              <w:rPr>
                <w:bCs/>
                <w:b/>
              </w:rPr>
              <w:t xml:space="preserve">Yangon Academic Research Consultancy Co., Ltd.</w:t>
            </w:r>
          </w:p>
          <w:p>
            <w:pPr>
              <w:jc w:val="left"/>
            </w:pPr>
            <w:r>
              <w:rPr>
                <w:bCs/>
                <w:b/>
              </w:rPr>
              <w:t xml:space="preserve">Date:</w:t>
            </w:r>
          </w:p>
        </w:tc>
      </w:tr>
    </w:tbl>
    <w:bookmarkEnd w:id="28"/>
    <w:p>
      <w:pPr>
        <w:pStyle w:val="BodyText"/>
      </w:pPr>
      <w:r>
        <w:t xml:space="preserve">This Quotation Estimate was prepared by Yangon Academic Research Consultancy Co., Ltd., Myanmar Yangon. For inquiries regarding this estimate or to request a revised Quotation Estimate, please contact our office at +95-9-790-123-456 or info@yangonacademicresearch.com.mm. This document is confidential and intended solely for the named client. Unauthorized reproduction or distribution of this Quotation Estimate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Myanmar Yangon</dc:title>
  <dc:creator/>
  <dc:language>en</dc:language>
  <cp:keywords/>
  <dcterms:created xsi:type="dcterms:W3CDTF">2026-10-10T07:23:10Z</dcterms:created>
  <dcterms:modified xsi:type="dcterms:W3CDTF">2026-10-10T07:23:10Z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