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Academic Researcher Services — Peru Lima</w:t>
      </w:r>
    </w:p>
    <w:p>
      <w:pPr>
        <w:pStyle w:val="BodyText"/>
      </w:pPr>
      <w:r>
        <w:t xml:space="preserve">Document No. QTE-PL-2025-0472</w:t>
      </w:r>
    </w:p>
    <w:bookmarkEnd w:id="20"/>
    <w:p>
      <w:pPr>
        <w:pStyle w:val="BodyText"/>
      </w:pPr>
      <w:r>
        <w:rPr>
          <w:bCs/>
          <w:b/>
        </w:rPr>
        <w:t xml:space="preserve">Prepared By:</w:t>
      </w:r>
      <w:r>
        <w:br/>
      </w:r>
      <w:r>
        <w:t xml:space="preserve">Andean Academic Consulting Group</w:t>
      </w:r>
      <w:r>
        <w:br/>
      </w:r>
      <w:r>
        <w:t xml:space="preserve">Av. Javier Prado Este 1250, San Isidro</w:t>
      </w:r>
      <w:r>
        <w:br/>
      </w:r>
      <w:r>
        <w:t xml:space="preserve">Lima, Peru</w:t>
      </w:r>
      <w:r>
        <w:br/>
      </w:r>
      <w:r>
        <w:t xml:space="preserve">RUC: 20601234567</w:t>
      </w:r>
      <w:r>
        <w:br/>
      </w:r>
      <w:r>
        <w:t xml:space="preserve">Email: quotations@andeanacademic.pe</w:t>
      </w:r>
      <w:r>
        <w:br/>
      </w:r>
      <w:r>
        <w:t xml:space="preserve">Phone: +51 1 456 7890</w:t>
      </w:r>
    </w:p>
    <w:p>
      <w:pPr>
        <w:pStyle w:val="BodyText"/>
      </w:pPr>
      <w:r>
        <w:rPr>
          <w:bCs/>
          <w:b/>
        </w:rPr>
        <w:t xml:space="preserve">Quotation Details:</w:t>
      </w:r>
      <w:r>
        <w:br/>
      </w:r>
      <w:r>
        <w:t xml:space="preserve">Date of Issue: June 15, 2025</w:t>
      </w:r>
      <w:r>
        <w:br/>
      </w:r>
      <w:r>
        <w:t xml:space="preserve">Valid Until: July 15, 2025</w:t>
      </w:r>
      <w:r>
        <w:br/>
      </w:r>
      <w:r>
        <w:t xml:space="preserve">Currency: Peruvian Sol (PEN) / USD</w:t>
      </w:r>
      <w:r>
        <w:br/>
      </w:r>
      <w:r>
        <w:t xml:space="preserve">Reference: AR-PL-2025-0472</w:t>
      </w:r>
    </w:p>
    <w:p>
      <w:pPr>
        <w:pStyle w:val="BodyText"/>
      </w:pPr>
      <w:r>
        <w:rPr>
          <w:bCs/>
          <w:b/>
        </w:rPr>
        <w:t xml:space="preserve">Prepared For:</w:t>
      </w:r>
      <w:r>
        <w:br/>
      </w:r>
      <w:r>
        <w:t xml:space="preserve">Universidad Nacional Mayor de San Marcos</w:t>
      </w:r>
      <w:r>
        <w:br/>
      </w:r>
      <w:r>
        <w:t xml:space="preserve">Faculty of Social Sciences</w:t>
      </w:r>
      <w:r>
        <w:br/>
      </w:r>
      <w:r>
        <w:t xml:space="preserve">Av. Universitaria s/n, Lima</w:t>
      </w:r>
      <w:r>
        <w:br/>
      </w:r>
      <w:r>
        <w:t xml:space="preserve">Peru</w:t>
      </w:r>
    </w:p>
    <w:p>
      <w:pPr>
        <w:pStyle w:val="BodyText"/>
      </w:pPr>
      <w:r>
        <w:rPr>
          <w:bCs/>
          <w:b/>
        </w:rPr>
        <w:t xml:space="preserve">Project Reference:</w:t>
      </w:r>
      <w:r>
        <w:br/>
      </w:r>
      <w:r>
        <w:t xml:space="preserve">Interdisciplinary Research Initiative</w:t>
      </w:r>
      <w:r>
        <w:br/>
      </w:r>
      <w:r>
        <w:t xml:space="preserve">2025–2026 Academic Cycle</w:t>
      </w:r>
      <w:r>
        <w:br/>
      </w:r>
      <w:r>
        <w:t xml:space="preserve">Contact: Dr. Elena Quispe</w:t>
      </w:r>
      <w:r>
        <w:br/>
      </w:r>
      <w:r>
        <w:t xml:space="preserve">Email: e.quispe@unmsm.edu.pe</w:t>
      </w:r>
    </w:p>
    <w:bookmarkStart w:id="21" w:name="X0c44cdb0125101dc6e75c06f9ec47ead0249b53"/>
    <w:p>
      <w:pPr>
        <w:pStyle w:val="Heading2"/>
      </w:pPr>
      <w:r>
        <w:t xml:space="preserve">1. Scope of Services — Academic Researcher Engagement in Peru Lima</w:t>
      </w:r>
    </w:p>
    <w:p>
      <w:pPr>
        <w:pStyle w:val="FirstParagraph"/>
      </w:pPr>
      <w:r>
        <w:t xml:space="preserve">This</w:t>
      </w:r>
      <w:r>
        <w:t xml:space="preserve"> </w:t>
      </w:r>
      <w:r>
        <w:t xml:space="preserve">Quotation Estimate</w:t>
      </w:r>
      <w:r>
        <w:t xml:space="preserve"> </w:t>
      </w:r>
      <w:r>
        <w:t xml:space="preserve">is issued by Andean Academic Consulting Group to formally present the costs associated with the engagement of a qualified</w:t>
      </w:r>
      <w:r>
        <w:t xml:space="preserve"> </w:t>
      </w:r>
      <w:r>
        <w:t xml:space="preserve">Academic Researcher</w:t>
      </w:r>
      <w:r>
        <w:t xml:space="preserve"> </w:t>
      </w:r>
      <w:r>
        <w:t xml:space="preserve">to conduct specialized research activities within the academic and institutional framework of</w:t>
      </w:r>
      <w:r>
        <w:t xml:space="preserve"> </w:t>
      </w:r>
      <w:r>
        <w:t xml:space="preserve">Peru Lima</w:t>
      </w:r>
      <w:r>
        <w:t xml:space="preserve">. The proposed</w:t>
      </w:r>
      <w:r>
        <w:t xml:space="preserve"> </w:t>
      </w:r>
      <w:r>
        <w:t xml:space="preserve">Academic Researcher</w:t>
      </w:r>
      <w:r>
        <w:t xml:space="preserve"> </w:t>
      </w:r>
      <w:r>
        <w:t xml:space="preserve">will operate under the supervision of the client institution and will deliver all outputs in accordance with the methodological standards established by the Peruvian Ministry of Education and the national research agency CONCYTEC.</w:t>
      </w:r>
    </w:p>
    <w:p>
      <w:pPr>
        <w:pStyle w:val="BodyText"/>
      </w:pPr>
      <w:r>
        <w:t xml:space="preserve">The</w:t>
      </w:r>
      <w:r>
        <w:t xml:space="preserve"> </w:t>
      </w:r>
      <w:r>
        <w:t xml:space="preserve">Academic Researcher</w:t>
      </w:r>
      <w:r>
        <w:t xml:space="preserve"> </w:t>
      </w:r>
      <w:r>
        <w:t xml:space="preserve">will be based in the Lima metropolitan area and will conduct fieldwork, literature analysis, data collection, and scholarly writing across multiple sites in</w:t>
      </w:r>
      <w:r>
        <w:t xml:space="preserve"> </w:t>
      </w:r>
      <w:r>
        <w:t xml:space="preserve">Peru Lima</w:t>
      </w:r>
      <w:r>
        <w:t xml:space="preserve">, including but not limited to the districts of San Isidro, Miraflores, La Molina, and Surco. All research activities will comply with the ethical guidelines of the Peruvian National System of Science, Technology, and Innovation (SINACYT) and the data protection regulations in force in</w:t>
      </w:r>
      <w:r>
        <w:t xml:space="preserve"> </w:t>
      </w:r>
      <w:r>
        <w:t xml:space="preserve">Peru Lima</w:t>
      </w:r>
      <w:r>
        <w:t xml:space="preserve">.</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(PEN)</w:t>
            </w:r>
          </w:p>
        </w:tc>
        <w:tc>
          <w:tcPr/>
          <w:p>
            <w:pPr>
              <w:pStyle w:val="Compact"/>
              <w:jc w:val="left"/>
            </w:pPr>
            <w:r>
              <w:t xml:space="preserve">Qty</w:t>
            </w:r>
          </w:p>
        </w:tc>
        <w:tc>
          <w:tcPr/>
          <w:p>
            <w:pPr>
              <w:pStyle w:val="Compact"/>
              <w:jc w:val="left"/>
            </w:pPr>
            <w:r>
              <w:t xml:space="preserve">Subtotal (PEN)</w:t>
            </w:r>
          </w:p>
        </w:tc>
      </w:tr>
      <w:tr>
        <w:tc>
          <w:tcPr/>
          <w:p>
            <w:pPr>
              <w:pStyle w:val="Compact"/>
              <w:jc w:val="left"/>
            </w:pPr>
            <w:r>
              <w:t xml:space="preserve">1</w:t>
            </w:r>
          </w:p>
        </w:tc>
        <w:tc>
          <w:tcPr/>
          <w:p>
            <w:pPr>
              <w:pStyle w:val="Compact"/>
              <w:jc w:val="left"/>
            </w:pPr>
            <w:r>
              <w:t xml:space="preserve">Academic Researcher monthly professional fee (PhD-level, full-time engagement in Peru Lima)</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12</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Fieldwork and data collection in Peru Lima districts (transport, permits, local coordination)</w:t>
            </w:r>
          </w:p>
        </w:tc>
        <w:tc>
          <w:tcPr/>
          <w:p>
            <w:pPr>
              <w:pStyle w:val="Compact"/>
              <w:jc w:val="left"/>
            </w:pPr>
            <w:r>
              <w:t xml:space="preserve">6 months</w:t>
            </w:r>
          </w:p>
        </w:tc>
        <w:tc>
          <w:tcPr/>
          <w:p>
            <w:pPr>
              <w:pStyle w:val="Compact"/>
              <w:jc w:val="left"/>
            </w:pPr>
            <w:r>
              <w:t xml:space="preserve">3,200.00</w:t>
            </w:r>
          </w:p>
        </w:tc>
        <w:tc>
          <w:tcPr/>
          <w:p>
            <w:pPr>
              <w:pStyle w:val="Compact"/>
              <w:jc w:val="left"/>
            </w:pPr>
            <w:r>
              <w:t xml:space="preserve">6</w:t>
            </w:r>
          </w:p>
        </w:tc>
        <w:tc>
          <w:tcPr/>
          <w:p>
            <w:pPr>
              <w:pStyle w:val="Compact"/>
              <w:jc w:val="left"/>
            </w:pPr>
            <w:r>
              <w:t xml:space="preserve">19,200.00</w:t>
            </w:r>
          </w:p>
        </w:tc>
      </w:tr>
      <w:tr>
        <w:tc>
          <w:tcPr/>
          <w:p>
            <w:pPr>
              <w:pStyle w:val="Compact"/>
              <w:jc w:val="left"/>
            </w:pPr>
            <w:r>
              <w:t xml:space="preserve">3</w:t>
            </w:r>
          </w:p>
        </w:tc>
        <w:tc>
          <w:tcPr/>
          <w:p>
            <w:pPr>
              <w:pStyle w:val="Compact"/>
              <w:jc w:val="left"/>
            </w:pPr>
            <w:r>
              <w:t xml:space="preserve">Access to academic databases, journals, and institutional repositories in Peru Lima</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12</w:t>
            </w:r>
          </w:p>
        </w:tc>
        <w:tc>
          <w:tcPr/>
          <w:p>
            <w:pPr>
              <w:pStyle w:val="Compact"/>
              <w:jc w:val="left"/>
            </w:pPr>
            <w:r>
              <w:t xml:space="preserve">21,600.00</w:t>
            </w:r>
          </w:p>
        </w:tc>
      </w:tr>
      <w:tr>
        <w:tc>
          <w:tcPr/>
          <w:p>
            <w:pPr>
              <w:pStyle w:val="Compact"/>
              <w:jc w:val="left"/>
            </w:pPr>
            <w:r>
              <w:t xml:space="preserve">4</w:t>
            </w:r>
          </w:p>
        </w:tc>
        <w:tc>
          <w:tcPr/>
          <w:p>
            <w:pPr>
              <w:pStyle w:val="Compact"/>
              <w:jc w:val="left"/>
            </w:pPr>
            <w:r>
              <w:t xml:space="preserve">Statistical analysis and quantitative modeling support (specialized software licenses)</w:t>
            </w:r>
          </w:p>
        </w:tc>
        <w:tc>
          <w:tcPr/>
          <w:p>
            <w:pPr>
              <w:pStyle w:val="Compact"/>
              <w:jc w:val="left"/>
            </w:pPr>
            <w:r>
              <w:t xml:space="preserve">12 months</w:t>
            </w:r>
          </w:p>
        </w:tc>
        <w:tc>
          <w:tcPr/>
          <w:p>
            <w:pPr>
              <w:pStyle w:val="Compact"/>
              <w:jc w:val="left"/>
            </w:pPr>
            <w:r>
              <w:t xml:space="preserve">2,400.00</w:t>
            </w:r>
          </w:p>
        </w:tc>
        <w:tc>
          <w:tcPr/>
          <w:p>
            <w:pPr>
              <w:pStyle w:val="Compact"/>
              <w:jc w:val="left"/>
            </w:pPr>
            <w:r>
              <w:t xml:space="preserve">12</w:t>
            </w:r>
          </w:p>
        </w:tc>
        <w:tc>
          <w:tcPr/>
          <w:p>
            <w:pPr>
              <w:pStyle w:val="Compact"/>
              <w:jc w:val="left"/>
            </w:pPr>
            <w:r>
              <w:t xml:space="preserve">28,800.00</w:t>
            </w:r>
          </w:p>
        </w:tc>
      </w:tr>
      <w:tr>
        <w:tc>
          <w:tcPr/>
          <w:p>
            <w:pPr>
              <w:pStyle w:val="Compact"/>
              <w:jc w:val="left"/>
            </w:pPr>
            <w:r>
              <w:t xml:space="preserve">5</w:t>
            </w:r>
          </w:p>
        </w:tc>
        <w:tc>
          <w:tcPr/>
          <w:p>
            <w:pPr>
              <w:pStyle w:val="Compact"/>
              <w:jc w:val="left"/>
            </w:pPr>
            <w:r>
              <w:t xml:space="preserve">Manuscript preparation, peer-review coordination, and publication support</w:t>
            </w:r>
          </w:p>
        </w:tc>
        <w:tc>
          <w:tcPr/>
          <w:p>
            <w:pPr>
              <w:pStyle w:val="Compact"/>
              <w:jc w:val="left"/>
            </w:pPr>
            <w:r>
              <w:t xml:space="preserve">3 phases</w:t>
            </w:r>
          </w:p>
        </w:tc>
        <w:tc>
          <w:tcPr/>
          <w:p>
            <w:pPr>
              <w:pStyle w:val="Compact"/>
              <w:jc w:val="left"/>
            </w:pPr>
            <w:r>
              <w:t xml:space="preserve">4,500.00</w:t>
            </w:r>
          </w:p>
        </w:tc>
        <w:tc>
          <w:tcPr/>
          <w:p>
            <w:pPr>
              <w:pStyle w:val="Compact"/>
              <w:jc w:val="left"/>
            </w:pPr>
            <w:r>
              <w:t xml:space="preserve">3</w:t>
            </w:r>
          </w:p>
        </w:tc>
        <w:tc>
          <w:tcPr/>
          <w:p>
            <w:pPr>
              <w:pStyle w:val="Compact"/>
              <w:jc w:val="left"/>
            </w:pPr>
            <w:r>
              <w:t xml:space="preserve">13,500.00</w:t>
            </w:r>
          </w:p>
        </w:tc>
      </w:tr>
      <w:tr>
        <w:tc>
          <w:tcPr/>
          <w:p>
            <w:pPr>
              <w:pStyle w:val="Compact"/>
              <w:jc w:val="left"/>
            </w:pPr>
            <w:r>
              <w:t xml:space="preserve">6</w:t>
            </w:r>
          </w:p>
        </w:tc>
        <w:tc>
          <w:tcPr/>
          <w:p>
            <w:pPr>
              <w:pStyle w:val="Compact"/>
              <w:jc w:val="left"/>
            </w:pPr>
            <w:r>
              <w:t xml:space="preserve">Academic Researcher travel and accommodation for regional research trips within Peru (Cusco, Arequipa, Iquitos)</w:t>
            </w:r>
          </w:p>
        </w:tc>
        <w:tc>
          <w:tcPr/>
          <w:p>
            <w:pPr>
              <w:pStyle w:val="Compact"/>
              <w:jc w:val="left"/>
            </w:pPr>
            <w:r>
              <w:t xml:space="preserve">4 trips</w:t>
            </w:r>
          </w:p>
        </w:tc>
        <w:tc>
          <w:tcPr/>
          <w:p>
            <w:pPr>
              <w:pStyle w:val="Compact"/>
              <w:jc w:val="left"/>
            </w:pPr>
            <w:r>
              <w:t xml:space="preserve">5,800.00</w:t>
            </w:r>
          </w:p>
        </w:tc>
        <w:tc>
          <w:tcPr/>
          <w:p>
            <w:pPr>
              <w:pStyle w:val="Compact"/>
              <w:jc w:val="left"/>
            </w:pPr>
            <w:r>
              <w:t xml:space="preserve">4</w:t>
            </w:r>
          </w:p>
        </w:tc>
        <w:tc>
          <w:tcPr/>
          <w:p>
            <w:pPr>
              <w:pStyle w:val="Compact"/>
              <w:jc w:val="left"/>
            </w:pPr>
            <w:r>
              <w:t xml:space="preserve">23,200.00</w:t>
            </w:r>
          </w:p>
        </w:tc>
      </w:tr>
      <w:tr>
        <w:tc>
          <w:tcPr/>
          <w:p>
            <w:pPr>
              <w:pStyle w:val="Compact"/>
              <w:jc w:val="left"/>
            </w:pPr>
            <w:r>
              <w:t xml:space="preserve">7</w:t>
            </w:r>
          </w:p>
        </w:tc>
        <w:tc>
          <w:tcPr/>
          <w:p>
            <w:pPr>
              <w:pStyle w:val="Compact"/>
              <w:jc w:val="left"/>
            </w:pPr>
            <w:r>
              <w:t xml:space="preserve">Administrative and legal compliance (labor registration, social security — ESSALUD, ONP in Peru Lima)</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12</w:t>
            </w:r>
          </w:p>
        </w:tc>
        <w:tc>
          <w:tcPr/>
          <w:p>
            <w:pPr>
              <w:pStyle w:val="Compact"/>
              <w:jc w:val="left"/>
            </w:pPr>
            <w:r>
              <w:t xml:space="preserve">14,400.00</w:t>
            </w:r>
          </w:p>
        </w:tc>
      </w:tr>
      <w:tr>
        <w:tc>
          <w:tcPr/>
          <w:p>
            <w:pPr>
              <w:pStyle w:val="Compact"/>
              <w:jc w:val="left"/>
            </w:pPr>
            <w:r>
              <w:t xml:space="preserve">8</w:t>
            </w:r>
          </w:p>
        </w:tc>
        <w:tc>
          <w:tcPr/>
          <w:p>
            <w:pPr>
              <w:pStyle w:val="Compact"/>
              <w:jc w:val="left"/>
            </w:pPr>
            <w:r>
              <w:t xml:space="preserve">Project management, reporting, and coordination with client institution in Peru Lima</w:t>
            </w:r>
          </w:p>
        </w:tc>
        <w:tc>
          <w:tcPr/>
          <w:p>
            <w:pPr>
              <w:pStyle w:val="Compact"/>
              <w:jc w:val="left"/>
            </w:pPr>
            <w:r>
              <w:t xml:space="preserve">12 months</w:t>
            </w:r>
          </w:p>
        </w:tc>
        <w:tc>
          <w:tcPr/>
          <w:p>
            <w:pPr>
              <w:pStyle w:val="Compact"/>
              <w:jc w:val="left"/>
            </w:pPr>
            <w:r>
              <w:t xml:space="preserve">1,500.00</w:t>
            </w:r>
          </w:p>
        </w:tc>
        <w:tc>
          <w:tcPr/>
          <w:p>
            <w:pPr>
              <w:pStyle w:val="Compact"/>
              <w:jc w:val="left"/>
            </w:pPr>
            <w:r>
              <w:t xml:space="preserve">12</w:t>
            </w:r>
          </w:p>
        </w:tc>
        <w:tc>
          <w:tcPr/>
          <w:p>
            <w:pPr>
              <w:pStyle w:val="Compact"/>
              <w:jc w:val="left"/>
            </w:pPr>
            <w:r>
              <w:t xml:space="preserve">18,000.00</w:t>
            </w:r>
          </w:p>
        </w:tc>
      </w:tr>
      <w:tr>
        <w:tc>
          <w:tcPr>
            <w:gridSpan w:val="5"/>
          </w:tcPr>
          <w:p>
            <w:pPr>
              <w:pStyle w:val="Compact"/>
              <w:jc w:val="right"/>
            </w:pPr>
            <w:r>
              <w:t xml:space="preserve">SUBTOTAL (PEN)</w:t>
            </w:r>
          </w:p>
        </w:tc>
        <w:tc>
          <w:tcPr/>
          <w:p>
            <w:pPr>
              <w:pStyle w:val="Compact"/>
              <w:jc w:val="left"/>
            </w:pPr>
            <w:r>
              <w:t xml:space="preserve">240,700.00</w:t>
            </w:r>
          </w:p>
        </w:tc>
      </w:tr>
      <w:tr>
        <w:tc>
          <w:tcPr>
            <w:gridSpan w:val="5"/>
          </w:tcPr>
          <w:p>
            <w:pPr>
              <w:pStyle w:val="Compact"/>
              <w:jc w:val="right"/>
            </w:pPr>
            <w:r>
              <w:t xml:space="preserve">IGV (18% — Peruvian General Sales Tax)</w:t>
            </w:r>
          </w:p>
        </w:tc>
        <w:tc>
          <w:tcPr/>
          <w:p>
            <w:pPr>
              <w:pStyle w:val="Compact"/>
              <w:jc w:val="left"/>
            </w:pPr>
            <w:r>
              <w:t xml:space="preserve">43,326.00</w:t>
            </w:r>
          </w:p>
        </w:tc>
      </w:tr>
      <w:tr>
        <w:tc>
          <w:tcPr>
            <w:gridSpan w:val="5"/>
          </w:tcPr>
          <w:p>
            <w:pPr>
              <w:pStyle w:val="Compact"/>
              <w:jc w:val="right"/>
            </w:pPr>
            <w:r>
              <w:t xml:space="preserve">TOTAL AMOUNT (PEN)</w:t>
            </w:r>
          </w:p>
        </w:tc>
        <w:tc>
          <w:tcPr/>
          <w:p>
            <w:pPr>
              <w:pStyle w:val="Compact"/>
              <w:jc w:val="left"/>
            </w:pPr>
            <w:r>
              <w:t xml:space="preserve">284,026.00</w:t>
            </w:r>
          </w:p>
        </w:tc>
      </w:tr>
      <w:tr>
        <w:tc>
          <w:tcPr>
            <w:gridSpan w:val="5"/>
          </w:tcPr>
          <w:p>
            <w:pPr>
              <w:pStyle w:val="Compact"/>
              <w:jc w:val="right"/>
            </w:pPr>
            <w:r>
              <w:t xml:space="preserve">TOTAL AMOUNT (USD, approx. at rate 3.75)</w:t>
            </w:r>
          </w:p>
        </w:tc>
        <w:tc>
          <w:tcPr/>
          <w:p>
            <w:pPr>
              <w:pStyle w:val="Compact"/>
              <w:jc w:val="left"/>
            </w:pPr>
            <w:r>
              <w:t xml:space="preserve">$75,740.27</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all prices are subject to revision due to market fluctuations in Peru Lima.</w:t>
      </w:r>
    </w:p>
    <w:p>
      <w:pPr>
        <w:numPr>
          <w:ilvl w:val="0"/>
          <w:numId w:val="1001"/>
        </w:numPr>
        <w:pStyle w:val="Compact"/>
      </w:pPr>
      <w:r>
        <w:rPr>
          <w:bCs/>
          <w:b/>
        </w:rPr>
        <w:t xml:space="preserve">Payment Schedule:</w:t>
      </w:r>
      <w:r>
        <w:t xml:space="preserve"> </w:t>
      </w:r>
      <w:r>
        <w:t xml:space="preserve">Payment shall be made in four (4) equal quarterly installments, due on the 5th business day of each quarter. The first installment is due upon formal acceptance of this Quotation Estimate and execution of the service contract.</w:t>
      </w:r>
    </w:p>
    <w:p>
      <w:pPr>
        <w:numPr>
          <w:ilvl w:val="0"/>
          <w:numId w:val="1001"/>
        </w:numPr>
        <w:pStyle w:val="Compact"/>
      </w:pPr>
      <w:r>
        <w:rPr>
          <w:bCs/>
          <w:b/>
        </w:rPr>
        <w:t xml:space="preserve">Payment Method:</w:t>
      </w:r>
      <w:r>
        <w:t xml:space="preserve"> </w:t>
      </w:r>
      <w:r>
        <w:t xml:space="preserve">Bank transfer to the account of Andean Academic Consulting Group at Banco de Crédito del Perú (BCP), Lima branch. All payments are subject to the issuance of a formal Peruvian invoice (factura) compliant with SUNAT regulations.</w:t>
      </w:r>
    </w:p>
    <w:p>
      <w:pPr>
        <w:numPr>
          <w:ilvl w:val="0"/>
          <w:numId w:val="1001"/>
        </w:numPr>
        <w:pStyle w:val="Compact"/>
      </w:pPr>
      <w:r>
        <w:rPr>
          <w:bCs/>
          <w:b/>
        </w:rPr>
        <w:t xml:space="preserve">Academic Researcher Availability:</w:t>
      </w:r>
      <w:r>
        <w:t xml:space="preserve"> </w:t>
      </w:r>
      <w:r>
        <w:t xml:space="preserve">The designated Academic Researcher commits to a minimum of 40 hours per week of dedicated research activity. Any substitution of the Academic Researcher requires prior written approval from the client institution.</w:t>
      </w:r>
    </w:p>
    <w:p>
      <w:pPr>
        <w:numPr>
          <w:ilvl w:val="0"/>
          <w:numId w:val="1001"/>
        </w:numPr>
        <w:pStyle w:val="Compact"/>
      </w:pPr>
      <w:r>
        <w:rPr>
          <w:bCs/>
          <w:b/>
        </w:rPr>
        <w:t xml:space="preserve">Intellectual Property:</w:t>
      </w:r>
      <w:r>
        <w:t xml:space="preserve"> </w:t>
      </w:r>
      <w:r>
        <w:t xml:space="preserve">All research outputs, publications, and data generated by the Academic Researcher during the engagement in Peru Lima shall be jointly owned by the client institution and the consulting firm, as stipulated in the master service agreement.</w:t>
      </w:r>
    </w:p>
    <w:p>
      <w:pPr>
        <w:numPr>
          <w:ilvl w:val="0"/>
          <w:numId w:val="1001"/>
        </w:numPr>
        <w:pStyle w:val="Compact"/>
      </w:pPr>
      <w:r>
        <w:rPr>
          <w:bCs/>
          <w:b/>
        </w:rPr>
        <w:t xml:space="preserve">Confidentiality:</w:t>
      </w:r>
      <w:r>
        <w:t xml:space="preserve"> </w:t>
      </w:r>
      <w:r>
        <w:t xml:space="preserve">The Academic Researcher and all supporting personnel are bound by a non-disclosure agreement in accordance with Peruvian intellectual property law (Ley Nº 27808) and the data protection framework applicable in Peru Lima.</w:t>
      </w:r>
    </w:p>
    <w:p>
      <w:pPr>
        <w:numPr>
          <w:ilvl w:val="0"/>
          <w:numId w:val="1001"/>
        </w:numPr>
        <w:pStyle w:val="Compact"/>
      </w:pPr>
      <w:r>
        <w:rPr>
          <w:bCs/>
          <w:b/>
        </w:rPr>
        <w:t xml:space="preserve">Termination:</w:t>
      </w:r>
      <w:r>
        <w:t xml:space="preserve"> </w:t>
      </w:r>
      <w:r>
        <w:t xml:space="preserve">Either party may terminate the engagement with sixty (60) days written notice. In the event of early termination, the client shall be invoiced for all services rendered up to the termination date, plus a 10% administrative fee.</w:t>
      </w:r>
    </w:p>
    <w:p>
      <w:pPr>
        <w:numPr>
          <w:ilvl w:val="0"/>
          <w:numId w:val="1001"/>
        </w:numPr>
        <w:pStyle w:val="Compact"/>
      </w:pPr>
      <w:r>
        <w:rPr>
          <w:bCs/>
          <w:b/>
        </w:rPr>
        <w:t xml:space="preserve">Force Majeure:</w:t>
      </w:r>
      <w:r>
        <w:t xml:space="preserve"> </w:t>
      </w:r>
      <w:r>
        <w:t xml:space="preserve">Neither party shall be liable for delays or non-performance caused by events beyond reasonable control, including but not limited to natural disasters, government-mandated closures, or public health emergencies affecting Peru Lima.</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Republic of Peru. Any disputes shall be resolved through the competent courts of Lima, Peru, or by arbitration before the Lima Chamber of Commerce.</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and authorizes Andean Academic Consulting Group to proceed with the engagement of the Academic Researcher for the research project described herein, to be executed in Peru Lima. This signature constitutes formal acceptance of all terms, conditions, and pricing outlined in this document.</w:t>
      </w:r>
    </w:p>
    <w:p>
      <w:pPr>
        <w:pStyle w:val="BodyText"/>
      </w:pPr>
      <w:r>
        <w:rPr>
          <w:bCs/>
          <w:b/>
        </w:rPr>
        <w:t xml:space="preserve">For the Client Institution</w:t>
      </w:r>
      <w:r>
        <w:br/>
      </w:r>
      <w:r>
        <w:t xml:space="preserve">Universidad Nacional Mayor de San Marcos</w:t>
      </w:r>
      <w:r>
        <w:br/>
      </w:r>
      <w:r>
        <w:br/>
      </w:r>
      <w:r>
        <w:t xml:space="preserve">_________________________________</w:t>
      </w:r>
      <w:r>
        <w:br/>
      </w:r>
      <w:r>
        <w:t xml:space="preserve">Name: Dr. Elena Quispe</w:t>
      </w:r>
      <w:r>
        <w:br/>
      </w:r>
      <w:r>
        <w:t xml:space="preserve">Title: Dean, Faculty of Social Sciences</w:t>
      </w:r>
      <w:r>
        <w:br/>
      </w:r>
      <w:r>
        <w:t xml:space="preserve">Date: _______________</w:t>
      </w:r>
    </w:p>
    <w:p>
      <w:pPr>
        <w:pStyle w:val="BodyText"/>
      </w:pPr>
      <w:r>
        <w:rPr>
          <w:bCs/>
          <w:b/>
        </w:rPr>
        <w:t xml:space="preserve">For Andean Academic Consulting Group</w:t>
      </w:r>
      <w:r>
        <w:br/>
      </w:r>
      <w:r>
        <w:t xml:space="preserve">Peru Lima</w:t>
      </w:r>
      <w:r>
        <w:br/>
      </w:r>
      <w:r>
        <w:br/>
      </w:r>
      <w:r>
        <w:t xml:space="preserve">_________________________________</w:t>
      </w:r>
      <w:r>
        <w:br/>
      </w:r>
      <w:r>
        <w:t xml:space="preserve">Name: Ing. Ricardo Salazar</w:t>
      </w:r>
      <w:r>
        <w:br/>
      </w:r>
      <w:r>
        <w:t xml:space="preserve">Title: Director of Academic Services</w:t>
      </w:r>
      <w:r>
        <w:br/>
      </w:r>
      <w:r>
        <w:t xml:space="preserve">Date: _______________</w:t>
      </w:r>
    </w:p>
    <w:p>
      <w:pPr>
        <w:pStyle w:val="BodyText"/>
      </w:pPr>
      <w:r>
        <w:t xml:space="preserve">This Quotation Estimate was prepared exclusively for the client institution named above and is not transferable.</w:t>
      </w:r>
      <w:r>
        <w:t xml:space="preserve"> </w:t>
      </w:r>
      <w:r>
        <w:t xml:space="preserve">© 2025 Andean Academic Consulting Group — Lima, Peru. All rights reserved.</w:t>
      </w:r>
      <w:r>
        <w:br/>
      </w:r>
      <w:r>
        <w:t xml:space="preserve">Document generated in compliance with Peruvian commercial documentation standards.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Services - Peru Lima</dc:title>
  <dc:creator/>
  <dc:language>en</dc:language>
  <cp:keywords/>
  <dcterms:created xsi:type="dcterms:W3CDTF">2026-10-10T09:32:38Z</dcterms:created>
  <dcterms:modified xsi:type="dcterms:W3CDTF">2026-10-10T09:32:38Z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